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4"/>
          <w:szCs w:val="24"/>
        </w:rPr>
      </w:pPr>
      <w:bookmarkStart w:id="0" w:name="_GoBack"/>
      <w:bookmarkEnd w:id="0"/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číslo smlouvy: 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b/>
          <w:bCs/>
          <w:sz w:val="32"/>
          <w:szCs w:val="32"/>
        </w:rPr>
      </w:pPr>
      <w:r>
        <w:rPr>
          <w:rFonts w:ascii="Noto Sans" w:eastAsia="Noto Sans" w:hAnsi="Noto Sans" w:cs="Noto Sans"/>
          <w:b/>
          <w:bCs/>
          <w:sz w:val="32"/>
          <w:szCs w:val="32"/>
        </w:rPr>
        <w:t>Rámcová smlouva o poskytování služeb na objednávku</w:t>
      </w:r>
    </w:p>
    <w:p w:rsidR="0053124C" w:rsidRDefault="00E2271B">
      <w:pPr>
        <w:pBdr>
          <w:bottom w:val="single" w:sz="12" w:space="1" w:color="000000"/>
        </w:pBdr>
        <w:spacing w:after="0"/>
        <w:ind w:left="-284" w:right="-426"/>
        <w:jc w:val="both"/>
        <w:rPr>
          <w:rFonts w:ascii="Noto Sans" w:eastAsia="Noto Sans" w:hAnsi="Noto Sans" w:cs="Noto Sans"/>
          <w:sz w:val="16"/>
          <w:szCs w:val="16"/>
        </w:rPr>
      </w:pPr>
      <w:r>
        <w:rPr>
          <w:rFonts w:ascii="Noto Sans" w:eastAsia="Noto Sans" w:hAnsi="Noto Sans" w:cs="Noto Sans"/>
          <w:sz w:val="16"/>
          <w:szCs w:val="16"/>
        </w:rPr>
        <w:t xml:space="preserve">uzavřená v souladu s </w:t>
      </w:r>
      <w:proofErr w:type="spellStart"/>
      <w:r>
        <w:rPr>
          <w:rFonts w:ascii="Noto Sans" w:eastAsia="Noto Sans" w:hAnsi="Noto Sans" w:cs="Noto Sans"/>
          <w:sz w:val="16"/>
          <w:szCs w:val="16"/>
        </w:rPr>
        <w:t>ust</w:t>
      </w:r>
      <w:proofErr w:type="spellEnd"/>
      <w:r>
        <w:rPr>
          <w:rFonts w:ascii="Noto Sans" w:eastAsia="Noto Sans" w:hAnsi="Noto Sans" w:cs="Noto Sans"/>
          <w:sz w:val="16"/>
          <w:szCs w:val="16"/>
        </w:rPr>
        <w:t>. § 1746 odst. 2 zákona č. 89/2012 Sb., občanský zákoník, v platném znění</w:t>
      </w:r>
    </w:p>
    <w:p w:rsidR="0053124C" w:rsidRDefault="0053124C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Integrační centrum Praha, o.p.s.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IČO: 242 28 320 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sídlem: Žitná 1574/51, 110 00 Praha 1 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číslo bankovního účtu: 2901931530/2010 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zastoupená Mgr. </w:t>
      </w:r>
      <w:proofErr w:type="spellStart"/>
      <w:r>
        <w:rPr>
          <w:rFonts w:ascii="Noto Sans" w:eastAsia="Noto Sans" w:hAnsi="Noto Sans" w:cs="Noto Sans"/>
          <w:sz w:val="20"/>
          <w:szCs w:val="20"/>
        </w:rPr>
        <w:t>Alenem</w:t>
      </w:r>
      <w:proofErr w:type="spellEnd"/>
      <w:r>
        <w:rPr>
          <w:rFonts w:ascii="Noto Sans" w:eastAsia="Noto Sans" w:hAnsi="Noto Sans" w:cs="Noto Sans"/>
          <w:sz w:val="20"/>
          <w:szCs w:val="20"/>
        </w:rPr>
        <w:t xml:space="preserve"> </w:t>
      </w:r>
      <w:proofErr w:type="spellStart"/>
      <w:r>
        <w:rPr>
          <w:rFonts w:ascii="Noto Sans" w:eastAsia="Noto Sans" w:hAnsi="Noto Sans" w:cs="Noto Sans"/>
          <w:sz w:val="20"/>
          <w:szCs w:val="20"/>
        </w:rPr>
        <w:t>Kovačevićem</w:t>
      </w:r>
      <w:proofErr w:type="spellEnd"/>
      <w:r>
        <w:rPr>
          <w:rFonts w:ascii="Noto Sans" w:eastAsia="Noto Sans" w:hAnsi="Noto Sans" w:cs="Noto Sans"/>
          <w:sz w:val="20"/>
          <w:szCs w:val="20"/>
        </w:rPr>
        <w:t xml:space="preserve">, ředitelem </w:t>
      </w:r>
    </w:p>
    <w:p w:rsidR="0053124C" w:rsidRDefault="0053124C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dále jen jako „</w:t>
      </w:r>
      <w:r>
        <w:rPr>
          <w:rFonts w:ascii="Noto Sans" w:eastAsia="Noto Sans" w:hAnsi="Noto Sans" w:cs="Noto Sans"/>
          <w:b/>
          <w:bCs/>
          <w:sz w:val="20"/>
          <w:szCs w:val="20"/>
        </w:rPr>
        <w:t>ICP</w:t>
      </w:r>
      <w:r>
        <w:rPr>
          <w:rFonts w:ascii="Noto Sans" w:eastAsia="Noto Sans" w:hAnsi="Noto Sans" w:cs="Noto Sans"/>
          <w:sz w:val="20"/>
          <w:szCs w:val="20"/>
        </w:rPr>
        <w:t xml:space="preserve">“ na straně jedné </w:t>
      </w:r>
    </w:p>
    <w:p w:rsidR="0053124C" w:rsidRDefault="0053124C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a </w:t>
      </w:r>
    </w:p>
    <w:p w:rsidR="0053124C" w:rsidRDefault="0053124C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Jméno Příjmení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IČO: 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sídlem/bytem: 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e-mail pro komunikaci: </w:t>
      </w:r>
    </w:p>
    <w:p w:rsidR="0053124C" w:rsidRDefault="00E2271B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telefonní číslo pro komunikaci: +420 </w:t>
      </w:r>
    </w:p>
    <w:p w:rsidR="0053124C" w:rsidRDefault="0053124C">
      <w:pPr>
        <w:spacing w:after="0" w:line="276" w:lineRule="auto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dále jen jako „</w:t>
      </w:r>
      <w:r>
        <w:rPr>
          <w:rFonts w:ascii="Noto Sans" w:eastAsia="Noto Sans" w:hAnsi="Noto Sans" w:cs="Noto Sans"/>
          <w:b/>
          <w:bCs/>
          <w:sz w:val="20"/>
          <w:szCs w:val="20"/>
        </w:rPr>
        <w:t>Tlumočník</w:t>
      </w:r>
      <w:r>
        <w:rPr>
          <w:rFonts w:ascii="Noto Sans" w:eastAsia="Noto Sans" w:hAnsi="Noto Sans" w:cs="Noto Sans"/>
          <w:sz w:val="20"/>
          <w:szCs w:val="20"/>
        </w:rPr>
        <w:t xml:space="preserve">“ </w:t>
      </w:r>
      <w:r>
        <w:rPr>
          <w:rFonts w:ascii="Noto Sans" w:eastAsia="Noto Sans" w:hAnsi="Noto Sans" w:cs="Noto Sans"/>
          <w:sz w:val="20"/>
          <w:szCs w:val="20"/>
        </w:rPr>
        <w:t>na straně druhé,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ICP a Tlumočník dále společně také jako „</w:t>
      </w:r>
      <w:r>
        <w:rPr>
          <w:rFonts w:ascii="Noto Sans" w:eastAsia="Noto Sans" w:hAnsi="Noto Sans" w:cs="Noto Sans"/>
          <w:b/>
          <w:bCs/>
          <w:sz w:val="20"/>
          <w:szCs w:val="20"/>
        </w:rPr>
        <w:t>Strany</w:t>
      </w:r>
      <w:r>
        <w:rPr>
          <w:rFonts w:ascii="Noto Sans" w:eastAsia="Noto Sans" w:hAnsi="Noto Sans" w:cs="Noto Sans"/>
          <w:sz w:val="20"/>
          <w:szCs w:val="20"/>
        </w:rPr>
        <w:t>“ či „</w:t>
      </w:r>
      <w:r>
        <w:rPr>
          <w:rFonts w:ascii="Noto Sans" w:eastAsia="Noto Sans" w:hAnsi="Noto Sans" w:cs="Noto Sans"/>
          <w:b/>
          <w:bCs/>
          <w:sz w:val="20"/>
          <w:szCs w:val="20"/>
        </w:rPr>
        <w:t>Smluvní strany</w:t>
      </w:r>
      <w:r>
        <w:rPr>
          <w:rFonts w:ascii="Noto Sans" w:eastAsia="Noto Sans" w:hAnsi="Noto Sans" w:cs="Noto Sans"/>
          <w:sz w:val="20"/>
          <w:szCs w:val="20"/>
        </w:rPr>
        <w:t>“ podle ustanovení § 1746 odst. 2 zákona č. 89/2012 Sb., občanský zákoník, v platném znění (dále jen jako „</w:t>
      </w:r>
      <w:proofErr w:type="spellStart"/>
      <w:r>
        <w:rPr>
          <w:rFonts w:ascii="Noto Sans" w:eastAsia="Noto Sans" w:hAnsi="Noto Sans" w:cs="Noto Sans"/>
          <w:b/>
          <w:bCs/>
          <w:sz w:val="20"/>
          <w:szCs w:val="20"/>
        </w:rPr>
        <w:t>ObčZ</w:t>
      </w:r>
      <w:proofErr w:type="spellEnd"/>
      <w:r>
        <w:rPr>
          <w:rFonts w:ascii="Noto Sans" w:eastAsia="Noto Sans" w:hAnsi="Noto Sans" w:cs="Noto Sans"/>
          <w:sz w:val="20"/>
          <w:szCs w:val="20"/>
        </w:rPr>
        <w:t xml:space="preserve">“) níže uvedeného dne, měsíce a roku uzavírají tuto </w:t>
      </w:r>
      <w:r>
        <w:rPr>
          <w:rFonts w:ascii="Noto Sans" w:eastAsia="Noto Sans" w:hAnsi="Noto Sans" w:cs="Noto Sans"/>
          <w:b/>
          <w:bCs/>
          <w:sz w:val="20"/>
          <w:szCs w:val="20"/>
        </w:rPr>
        <w:t xml:space="preserve">Rámcovou smlouvu o poskytování služeb na objednávku </w:t>
      </w:r>
      <w:r>
        <w:rPr>
          <w:rFonts w:ascii="Noto Sans" w:eastAsia="Noto Sans" w:hAnsi="Noto Sans" w:cs="Noto Sans"/>
          <w:sz w:val="20"/>
          <w:szCs w:val="20"/>
        </w:rPr>
        <w:t>(dále jen „</w:t>
      </w:r>
      <w:r>
        <w:rPr>
          <w:rFonts w:ascii="Noto Sans" w:eastAsia="Noto Sans" w:hAnsi="Noto Sans" w:cs="Noto Sans"/>
          <w:b/>
          <w:bCs/>
          <w:sz w:val="20"/>
          <w:szCs w:val="20"/>
        </w:rPr>
        <w:t>rámcová smlouva</w:t>
      </w:r>
      <w:r>
        <w:rPr>
          <w:rFonts w:ascii="Noto Sans" w:eastAsia="Noto Sans" w:hAnsi="Noto Sans" w:cs="Noto Sans"/>
          <w:sz w:val="20"/>
          <w:szCs w:val="20"/>
        </w:rPr>
        <w:t>“).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1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Preambule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ICP je obecně prospěšnou společností, která provozuje v souladu s § </w:t>
      </w:r>
      <w:proofErr w:type="gramStart"/>
      <w:r>
        <w:rPr>
          <w:rFonts w:ascii="Noto Sans" w:eastAsia="Noto Sans" w:hAnsi="Noto Sans" w:cs="Noto Sans"/>
          <w:color w:val="000000"/>
          <w:sz w:val="20"/>
          <w:szCs w:val="20"/>
        </w:rPr>
        <w:t>155a</w:t>
      </w:r>
      <w:proofErr w:type="gram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zákona č. 326/1999 Sb. (dále jen „</w:t>
      </w:r>
      <w:proofErr w:type="spellStart"/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ZoPC</w:t>
      </w:r>
      <w:proofErr w:type="spell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“) centrum na podporu integrace cizinců. 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ICP dále v souladu s § </w:t>
      </w:r>
      <w:proofErr w:type="gramStart"/>
      <w:r>
        <w:rPr>
          <w:rFonts w:ascii="Noto Sans" w:eastAsia="Noto Sans" w:hAnsi="Noto Sans" w:cs="Noto Sans"/>
          <w:color w:val="000000"/>
          <w:sz w:val="20"/>
          <w:szCs w:val="20"/>
        </w:rPr>
        <w:t>155b</w:t>
      </w:r>
      <w:proofErr w:type="gram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</w:t>
      </w:r>
      <w:proofErr w:type="spellStart"/>
      <w:r>
        <w:rPr>
          <w:rFonts w:ascii="Noto Sans" w:eastAsia="Noto Sans" w:hAnsi="Noto Sans" w:cs="Noto Sans"/>
          <w:color w:val="000000"/>
          <w:sz w:val="20"/>
          <w:szCs w:val="20"/>
        </w:rPr>
        <w:t>ZoPC</w:t>
      </w:r>
      <w:proofErr w:type="spell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zabezpečuje v roce 202</w:t>
      </w:r>
      <w:r>
        <w:rPr>
          <w:rFonts w:ascii="Noto Sans" w:eastAsia="Noto Sans" w:hAnsi="Noto Sans" w:cs="Noto Sans"/>
          <w:sz w:val="20"/>
          <w:szCs w:val="20"/>
        </w:rPr>
        <w:t>6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realizaci </w:t>
      </w:r>
      <w:r>
        <w:rPr>
          <w:rFonts w:ascii="Noto Sans" w:eastAsia="Noto Sans" w:hAnsi="Noto Sans" w:cs="Noto Sans"/>
          <w:sz w:val="20"/>
          <w:szCs w:val="20"/>
        </w:rPr>
        <w:t>a</w:t>
      </w:r>
      <w:r>
        <w:rPr>
          <w:rFonts w:ascii="Noto Sans" w:eastAsia="Noto Sans" w:hAnsi="Noto Sans" w:cs="Noto Sans"/>
          <w:color w:val="000000"/>
          <w:sz w:val="20"/>
          <w:szCs w:val="20"/>
        </w:rPr>
        <w:t>daptačně-integračních kurzů „Vítejte v České republice“ (dále jen „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AIK</w:t>
      </w:r>
      <w:r>
        <w:rPr>
          <w:rFonts w:ascii="Noto Sans" w:eastAsia="Noto Sans" w:hAnsi="Noto Sans" w:cs="Noto Sans"/>
          <w:color w:val="000000"/>
          <w:sz w:val="20"/>
          <w:szCs w:val="20"/>
        </w:rPr>
        <w:t>“), a to na základě projektu AIK ICP 2</w:t>
      </w:r>
      <w:r>
        <w:rPr>
          <w:rFonts w:ascii="Noto Sans" w:eastAsia="Noto Sans" w:hAnsi="Noto Sans" w:cs="Noto Sans"/>
          <w:sz w:val="20"/>
          <w:szCs w:val="20"/>
        </w:rPr>
        <w:t>6</w:t>
      </w:r>
      <w:r>
        <w:rPr>
          <w:rFonts w:ascii="Noto Sans" w:eastAsia="Noto Sans" w:hAnsi="Noto Sans" w:cs="Noto Sans"/>
          <w:color w:val="000000"/>
          <w:sz w:val="20"/>
          <w:szCs w:val="20"/>
        </w:rPr>
        <w:t>, který je financován v rámci dotačního programu Adaptačně-integrační kurzy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202</w:t>
      </w:r>
      <w:r>
        <w:rPr>
          <w:rFonts w:ascii="Noto Sans" w:eastAsia="Noto Sans" w:hAnsi="Noto Sans" w:cs="Noto Sans"/>
          <w:sz w:val="20"/>
          <w:szCs w:val="20"/>
        </w:rPr>
        <w:t>6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ze strany Ministerstva vnitra ČR (dále jen „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Projekt</w:t>
      </w:r>
      <w:r>
        <w:rPr>
          <w:rFonts w:ascii="Noto Sans" w:eastAsia="Noto Sans" w:hAnsi="Noto Sans" w:cs="Noto Sans"/>
          <w:color w:val="000000"/>
          <w:sz w:val="20"/>
          <w:szCs w:val="20"/>
        </w:rPr>
        <w:t>“).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ICP zamýšlí v období od data podpisu smlouvy do 31. 12. 202</w:t>
      </w:r>
      <w:r>
        <w:rPr>
          <w:rFonts w:ascii="Noto Sans" w:eastAsia="Noto Sans" w:hAnsi="Noto Sans" w:cs="Noto Sans"/>
          <w:sz w:val="20"/>
          <w:szCs w:val="20"/>
        </w:rPr>
        <w:t>6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(dále jen „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Doba plnění</w:t>
      </w:r>
      <w:r>
        <w:rPr>
          <w:rFonts w:ascii="Noto Sans" w:eastAsia="Noto Sans" w:hAnsi="Noto Sans" w:cs="Noto Sans"/>
          <w:color w:val="000000"/>
          <w:sz w:val="20"/>
          <w:szCs w:val="20"/>
        </w:rPr>
        <w:t>“) v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souvislosti s realizací Projektu využít služeb Tlumočníka (tak jak jsou definovány v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čl.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2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odst.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1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této rámcov</w:t>
      </w:r>
      <w:r>
        <w:rPr>
          <w:rFonts w:ascii="Noto Sans" w:eastAsia="Noto Sans" w:hAnsi="Noto Sans" w:cs="Noto Sans"/>
          <w:color w:val="000000"/>
          <w:sz w:val="20"/>
          <w:szCs w:val="20"/>
        </w:rPr>
        <w:t>é smlouvy) jako osoby, která bude tlumočit AIK pořádané ICP, a platit mu za tyto služby odměnu v níže specifikované výši. Tato rámcová smlouva upravuje způsob, kterým budou služby Tlumočníka objednávány, a podmínky poskytování těchto služeb Tlumočníkem.</w:t>
      </w:r>
    </w:p>
    <w:p w:rsidR="0053124C" w:rsidRDefault="00E2271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lastRenderedPageBreak/>
        <w:t xml:space="preserve">Tlumočník prohlašuje a podpisem této rámcové smlouvy stvrzuje, že je odborně způsobilou osobou, která složila zkoušku tlumočníka, v souladu s § 18 a 19 vyhlášky Ministerstva vnitra ČR č. 520/2020 Sb., o provádění </w:t>
      </w:r>
      <w:r>
        <w:rPr>
          <w:rFonts w:ascii="Noto Sans" w:eastAsia="Noto Sans" w:hAnsi="Noto Sans" w:cs="Noto Sans"/>
          <w:sz w:val="20"/>
          <w:szCs w:val="20"/>
        </w:rPr>
        <w:t>Adaptačně-integračních kurzů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(dále jen „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Vyh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láška</w:t>
      </w:r>
      <w:r>
        <w:rPr>
          <w:rFonts w:ascii="Noto Sans" w:eastAsia="Noto Sans" w:hAnsi="Noto Sans" w:cs="Noto Sans"/>
          <w:color w:val="000000"/>
          <w:sz w:val="20"/>
          <w:szCs w:val="20"/>
        </w:rPr>
        <w:t>“).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V tomto materiálu se užívají některé pojmy jen v mužském rodě, cílem je zjednodušení textu a není tím míněno, že by se pojmy případně netýkaly i osob všech ostatních pohlaví.</w:t>
      </w:r>
    </w:p>
    <w:p w:rsidR="0053124C" w:rsidRDefault="0053124C">
      <w:pPr>
        <w:spacing w:after="0"/>
        <w:ind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2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Předmět Smlouvy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Službami Tlumočníka </w:t>
      </w:r>
      <w:r>
        <w:rPr>
          <w:rFonts w:ascii="Noto Sans" w:eastAsia="Noto Sans" w:hAnsi="Noto Sans" w:cs="Noto Sans"/>
          <w:sz w:val="20"/>
          <w:szCs w:val="20"/>
        </w:rPr>
        <w:t>Adaptačně-integračních kurzů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se rozumí tlumočení AIK, jejichž obsahová náplň je definována v § 12 Vyhlášky a rozsah v § 13 Vyhlášky (dále jen „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Služby</w:t>
      </w:r>
      <w:r>
        <w:rPr>
          <w:rFonts w:ascii="Noto Sans" w:eastAsia="Noto Sans" w:hAnsi="Noto Sans" w:cs="Noto Sans"/>
          <w:color w:val="000000"/>
          <w:sz w:val="20"/>
          <w:szCs w:val="20"/>
        </w:rPr>
        <w:t>“) a to do jazyka, nebo jazyků pro které je odborně způsobilý tlumočit podle čl. 1 odst. 3 této rámcové sml</w:t>
      </w:r>
      <w:r>
        <w:rPr>
          <w:rFonts w:ascii="Noto Sans" w:eastAsia="Noto Sans" w:hAnsi="Noto Sans" w:cs="Noto Sans"/>
          <w:color w:val="000000"/>
          <w:sz w:val="20"/>
          <w:szCs w:val="20"/>
        </w:rPr>
        <w:t>ouvy.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bookmarkStart w:id="1" w:name="_heading=h.gjdgxs" w:colFirst="0" w:colLast="0"/>
      <w:bookmarkEnd w:id="1"/>
      <w:r>
        <w:rPr>
          <w:rFonts w:ascii="Noto Sans" w:eastAsia="Noto Sans" w:hAnsi="Noto Sans" w:cs="Noto Sans"/>
          <w:color w:val="000000"/>
          <w:sz w:val="20"/>
          <w:szCs w:val="20"/>
        </w:rPr>
        <w:t>Pokud se Strany nedohodnou písemně jinak, bude plnění Služeb na základě této rámcové smlouvy probíhat na základě dílčích objednávek ICP, způsobem, který stanoví metodický pokyn „Objednávání a fakturace služeb lektorů a tlumočníků “ (Příloha č. 1).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Tlumočník se zavazuje poskytovat Služby v souladu s právními předpisy, “Etickým kodexem pro lektory a tlumočníky Adaptačně-integračních kurzů” (Příloha č. 2, dále jen “Etický kodex”) a dalšími pokyny ICP, pokyny pracovníků Odboru azylové a migrační politik</w:t>
      </w:r>
      <w:r>
        <w:rPr>
          <w:rFonts w:ascii="Noto Sans" w:eastAsia="Noto Sans" w:hAnsi="Noto Sans" w:cs="Noto Sans"/>
          <w:color w:val="000000"/>
          <w:sz w:val="20"/>
          <w:szCs w:val="20"/>
        </w:rPr>
        <w:t>y Ministerstva vnitra ČR (dále jen „OAMP MV ČR“) a případně dalšími pokyny, se kterými byl Tlumočník ze strany ICP seznámen. Tlumočník se dále zavazuje, že bude v průběhu kurzu poskytovat Služby v souladu s pokyny Organizace pověřené metodickým vedením (Sl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ovo 21) a právní úpravou obsahu AIK v § </w:t>
      </w:r>
      <w:proofErr w:type="gramStart"/>
      <w:r>
        <w:rPr>
          <w:rFonts w:ascii="Noto Sans" w:eastAsia="Noto Sans" w:hAnsi="Noto Sans" w:cs="Noto Sans"/>
          <w:color w:val="000000"/>
          <w:sz w:val="20"/>
          <w:szCs w:val="20"/>
        </w:rPr>
        <w:t>155b</w:t>
      </w:r>
      <w:proofErr w:type="gram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odst. 1 zákona č. 326/1999 Sb., o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pobytu cizinců na území České republiky a o změně některých zákonů, a v § 12 Vyhlášky.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Etický kodex a další závazné pokyny ICP, jimiž je Tlumočník povinen se řídit, tvoří nedílnou součást této rámcové smlouvy a budou po celou dobu trvání této rámcové smlouvy dostupné na webové adrese 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https://icpraha.com/ke-stazeni</w:t>
      </w:r>
      <w:r>
        <w:rPr>
          <w:rFonts w:ascii="Noto Sans" w:eastAsia="Noto Sans" w:hAnsi="Noto Sans" w:cs="Noto Sans"/>
          <w:color w:val="000000"/>
          <w:sz w:val="20"/>
          <w:szCs w:val="20"/>
        </w:rPr>
        <w:t>. Tlumočník podpisem této rá</w:t>
      </w:r>
      <w:r>
        <w:rPr>
          <w:rFonts w:ascii="Noto Sans" w:eastAsia="Noto Sans" w:hAnsi="Noto Sans" w:cs="Noto Sans"/>
          <w:color w:val="000000"/>
          <w:sz w:val="20"/>
          <w:szCs w:val="20"/>
        </w:rPr>
        <w:t>mcové smlouvy stvrzuje, že s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nimi byl před uzavřením smlouvy řádně seznámen.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Pověření pracovníci ICP, kterými jsou osoby zaměstnané v ICP, pracovníci Ministerstva vnitra ČR či jimi pověřené osoby, jsou oprávněni účastnit se AIK tlumočených Tlumočníkem za </w:t>
      </w:r>
      <w:r>
        <w:rPr>
          <w:rFonts w:ascii="Noto Sans" w:eastAsia="Noto Sans" w:hAnsi="Noto Sans" w:cs="Noto Sans"/>
          <w:color w:val="000000"/>
          <w:sz w:val="20"/>
          <w:szCs w:val="20"/>
        </w:rPr>
        <w:t>účelem kontroly jejich průběhu a kvality poskytovaných Služeb.</w:t>
      </w:r>
    </w:p>
    <w:p w:rsidR="0053124C" w:rsidRDefault="0053124C">
      <w:pPr>
        <w:spacing w:after="0"/>
        <w:ind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color w:val="000000"/>
          <w:sz w:val="20"/>
          <w:szCs w:val="20"/>
        </w:rPr>
      </w:pPr>
    </w:p>
    <w:p w:rsidR="0053124C" w:rsidRDefault="00E2271B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color w:val="000000"/>
          <w:sz w:val="20"/>
          <w:szCs w:val="20"/>
        </w:rPr>
      </w:pP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Článek 3</w:t>
      </w:r>
    </w:p>
    <w:p w:rsidR="0053124C" w:rsidRDefault="00E2271B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color w:val="000000"/>
          <w:sz w:val="20"/>
          <w:szCs w:val="20"/>
        </w:rPr>
      </w:pP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Odměna Tlumočníka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Za tlumočení AIK se sjednává hodinová odměna ve výši 1 000 Kč (slovy: jeden tisíc korun českých). Vzhledem k časovému rozsahu stanovenému v § 13 Vyhlášky nepřekročí celková odměna Tlumočníka za tlumočení jednoho AIK 4 000 Kč (slovy: čtyři tisíce korun česk</w:t>
      </w:r>
      <w:r>
        <w:rPr>
          <w:rFonts w:ascii="Noto Sans" w:eastAsia="Noto Sans" w:hAnsi="Noto Sans" w:cs="Noto Sans"/>
          <w:color w:val="000000"/>
          <w:sz w:val="20"/>
          <w:szCs w:val="20"/>
        </w:rPr>
        <w:t>ých).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lastRenderedPageBreak/>
        <w:t>Odměna bude Tlumočníkovi vyplacena na základě jím předložené faktury, která bude obsahovat náležitosti uvedené níže v čl. 8 odst. 2 a 3 této rámcové smlouvy.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Faktura bude Tlumočníkem vystavena vždy nejpozději do 15. kalendářního dne měsíce následuj</w:t>
      </w:r>
      <w:r>
        <w:rPr>
          <w:rFonts w:ascii="Noto Sans" w:eastAsia="Noto Sans" w:hAnsi="Noto Sans" w:cs="Noto Sans"/>
          <w:color w:val="000000"/>
          <w:sz w:val="20"/>
          <w:szCs w:val="20"/>
        </w:rPr>
        <w:t>ícího po měsíci, v němž byl Tlumočníkem tlumočen AIK, za nějž odměna přísluší. Pokud bylo v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příslušném kalendářním měsíci tlumočeno Tlumočníkem více AIK, vystaví Tlumočník pouze jednu fakturu za všechny realizované kurzy.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4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Zrušení naplánovaného Adaptačně-integračního kurzu ze strany ICP</w:t>
      </w:r>
    </w:p>
    <w:p w:rsidR="0053124C" w:rsidRDefault="0053124C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</w:p>
    <w:p w:rsidR="0053124C" w:rsidRDefault="00E2271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ICP má povinnost bez zbytečného odkladu informovat Tlumočníka o skutečnosti, že AIK, který měl Tlumočník tlumočit, musel být zrušen z důvodu dříve nepředvídaných událostí.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Podle pokynu MV Č</w:t>
      </w:r>
      <w:r>
        <w:rPr>
          <w:rFonts w:ascii="Noto Sans" w:eastAsia="Noto Sans" w:hAnsi="Noto Sans" w:cs="Noto Sans"/>
          <w:color w:val="000000"/>
          <w:sz w:val="20"/>
          <w:szCs w:val="20"/>
        </w:rPr>
        <w:t>R se dále sjednává:</w:t>
      </w:r>
    </w:p>
    <w:p w:rsidR="0053124C" w:rsidRDefault="00E2271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Pokud dojde ke zrušení naplánovaného AIK ze strany ICP nejpozději 6 hodin před jeho konáním, nepřísluší Tlumočníkovi žádná náhrada sjednané odměny.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Pokud dojde ke zrušení naplánovaného AIK ze strany ICP méně než 6 hodin před jeho konáním, přísluší Tlumočníkovi jednorázová náhrada ve výši 2 000 Kč (slovy</w:t>
      </w:r>
      <w:r>
        <w:rPr>
          <w:rFonts w:ascii="Noto Sans" w:eastAsia="Noto Sans" w:hAnsi="Noto Sans" w:cs="Noto Sans"/>
          <w:sz w:val="20"/>
          <w:szCs w:val="20"/>
        </w:rPr>
        <w:t>: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dva tisíce korun českých).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5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Součinnost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ICP i Tlumočník se zavazují, že si navzájem poskytnou nezbytnou součinnost k dosažení cílů této rámcové smlouvy. Za tímto účelem se budou zejména neprodleně informovat o jakýchkoliv skutečnostech, které by řádnému plnění rámcové smlouvy bránily, či jej doč</w:t>
      </w:r>
      <w:r>
        <w:rPr>
          <w:rFonts w:ascii="Noto Sans" w:eastAsia="Noto Sans" w:hAnsi="Noto Sans" w:cs="Noto Sans"/>
          <w:color w:val="000000"/>
          <w:sz w:val="20"/>
          <w:szCs w:val="20"/>
        </w:rPr>
        <w:t>asně či navždy vylučovaly.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6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Sankce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Sjednává se smluvní pokuta až do výše 10 000 Kč (slovy: deset tisíc korun českých). Smluvní pokuta je splatná do 5 pracovních dnů ode dne jejího písemného uplatnění u Tlumočníka, a to na bankovní účet ICP uvede</w:t>
      </w:r>
      <w:r>
        <w:rPr>
          <w:rFonts w:ascii="Noto Sans" w:eastAsia="Noto Sans" w:hAnsi="Noto Sans" w:cs="Noto Sans"/>
          <w:color w:val="000000"/>
          <w:sz w:val="20"/>
          <w:szCs w:val="20"/>
        </w:rPr>
        <w:t>ný v záhlaví této smlouvy. Smluvní pokuta se sjednává pro tyto případy (dále vše také jako “porušení povinností”):</w:t>
      </w:r>
    </w:p>
    <w:p w:rsidR="0053124C" w:rsidRDefault="00E227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nemožnost konání objednaného AIK z důvodu na straně Tlumočníka;</w:t>
      </w:r>
    </w:p>
    <w:p w:rsidR="0053124C" w:rsidRDefault="00E227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zjištění, že ze strany Tlumočníka nedošlo k dodržení právních předpisů, Etického kodexu, pokynů Organizace pověřené metodickým vedením (Slovo 21) či jiných závazných pokynů;</w:t>
      </w:r>
    </w:p>
    <w:p w:rsidR="0053124C" w:rsidRDefault="00E227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poskytování Služeb v jiném rozsahu a obsahu, než jsou definovány ve Vyhlášce.</w:t>
      </w:r>
    </w:p>
    <w:p w:rsidR="0053124C" w:rsidRDefault="00E22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142" w:right="-426" w:hanging="425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Usta</w:t>
      </w:r>
      <w:r>
        <w:rPr>
          <w:rFonts w:ascii="Noto Sans" w:eastAsia="Noto Sans" w:hAnsi="Noto Sans" w:cs="Noto Sans"/>
          <w:color w:val="000000"/>
          <w:sz w:val="20"/>
          <w:szCs w:val="20"/>
        </w:rPr>
        <w:t>novení čl. 6 odst. 1 této rámcové smlouvy se nepoužije v případě, že Tlumočníkovi v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objednané službě zabránily závažné okolnosti nezávislé na jeho vůli (např. onemocnění, zranění, jiná osobní či </w:t>
      </w:r>
      <w:r>
        <w:rPr>
          <w:rFonts w:ascii="Noto Sans" w:eastAsia="Noto Sans" w:hAnsi="Noto Sans" w:cs="Noto Sans"/>
          <w:color w:val="000000"/>
          <w:sz w:val="20"/>
          <w:szCs w:val="20"/>
        </w:rPr>
        <w:lastRenderedPageBreak/>
        <w:t>rodinná událost apod.), to vše za podmínky, že o nemožnosti tlumočit AIK bez zbytečného odkladu vhodným způsobem informoval ICP. Existenci závažn</w:t>
      </w:r>
      <w:r>
        <w:rPr>
          <w:rFonts w:ascii="Noto Sans" w:eastAsia="Noto Sans" w:hAnsi="Noto Sans" w:cs="Noto Sans"/>
          <w:color w:val="000000"/>
          <w:sz w:val="20"/>
          <w:szCs w:val="20"/>
        </w:rPr>
        <w:t>ých okolností je Tlumočník povinen na vyzvání osvědčit např. potvrzením od lékaře či jiné osoby, lze-li to spravedlivě požadovat.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Ustanovení čl. 6 odst. 1 této rámcové smlouvy se dále nepoužije v případě, že se Tlumočník s ICP na nekonání AIK písemně domluvil.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Postup udělení smluvní pokuty a řešení porušení povinností je následující: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Pověřený pracovník ICP zahájí ve věci šetření, jehož výsledkem bude písemné rozhodnutí ICP o možnosti další spolupráce s Tlumočníkem. Toto rozhodnutí bude obsahovat popis porušených povinností Tlumočníka a případně pokyny ke zjednání nápravy. ICP je povinn</w:t>
      </w:r>
      <w:r>
        <w:rPr>
          <w:rFonts w:ascii="Noto Sans" w:eastAsia="Noto Sans" w:hAnsi="Noto Sans" w:cs="Noto Sans"/>
          <w:color w:val="000000"/>
          <w:sz w:val="20"/>
          <w:szCs w:val="20"/>
        </w:rPr>
        <w:t>o ve věci rozhodnout bez zbytečného odkladu, nejpozději však do 45 kalendářních dnů od okamžiku, kdy se o porušení povinností Tlumočníka dozvědělo;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ICP je do rozhodnutí podle čl. 6 odst. 4 písm. a) této smlouvy oprávněno pozastavit účast Tlumočníka na již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domluvených termínech AIK a nenabízet mu termíny nové;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ICP je do rozhodnutí podle čl. 6 odst. 4 písm. a) této smlouvy oprávněno bez sankce pozastavit výplatu odměny Tlumočníka za AIK, v </w:t>
      </w:r>
      <w:proofErr w:type="gramStart"/>
      <w:r>
        <w:rPr>
          <w:rFonts w:ascii="Noto Sans" w:eastAsia="Noto Sans" w:hAnsi="Noto Sans" w:cs="Noto Sans"/>
          <w:color w:val="000000"/>
          <w:sz w:val="20"/>
          <w:szCs w:val="20"/>
        </w:rPr>
        <w:t>průběhu</w:t>
      </w:r>
      <w:proofErr w:type="gram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nichž došlo k porušení jeho povinností. V takovém případě se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prodlužuje splatnost již vystavených faktur až do 10. kalendářního dne od rozhodnutí podle čl. 6 odst. 4 písm. a) této smlouvy;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Pověřený pracovník ICP v případě nutnosti konzultuje šetření s OAMP MV ČR a Organizací pověřenou metodickým vedením (Slovo 21)</w:t>
      </w:r>
      <w:r>
        <w:rPr>
          <w:rFonts w:ascii="Noto Sans" w:eastAsia="Noto Sans" w:hAnsi="Noto Sans" w:cs="Noto Sans"/>
          <w:color w:val="000000"/>
          <w:sz w:val="20"/>
          <w:szCs w:val="20"/>
        </w:rPr>
        <w:t>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7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Doba trvání a ukončení rámcové smlouvy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Tato Smlouva se uzavírá na dobu od data podpisu do 31. 12. 202</w:t>
      </w:r>
      <w:r>
        <w:rPr>
          <w:rFonts w:ascii="Noto Sans" w:eastAsia="Noto Sans" w:hAnsi="Noto Sans" w:cs="Noto Sans"/>
          <w:sz w:val="20"/>
          <w:szCs w:val="20"/>
        </w:rPr>
        <w:t>6</w:t>
      </w:r>
      <w:r>
        <w:rPr>
          <w:rFonts w:ascii="Noto Sans" w:eastAsia="Noto Sans" w:hAnsi="Noto Sans" w:cs="Noto Sans"/>
          <w:color w:val="000000"/>
          <w:sz w:val="20"/>
          <w:szCs w:val="20"/>
        </w:rPr>
        <w:t>, nejdéle však do doby, kdy dojde k zániku některé ze Smluvních stran.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ICP i Tlumočník mají právo písemně vypovědět rámcovou smlouvu s měsíční výpovědní dobou, a to bez uvedení důvodu. Výpovědní doba počíná běžet prvním dnem měsíce následujícího po měsíci, kdy byla výpověď písemně doručena druhé Smluvní straně. Pro odstranění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všech pochybností se stanoví, že Tlumočník je povinen do uplynutí výpovědní doby poskytovat již objednané Služby, to však neplatí, pokud se Strany dohodnou jinak.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ICP má právo ukončit rámcovou smlouvu okamžitě bez výpovědní doby v případě, že Tlumočník h</w:t>
      </w:r>
      <w:r>
        <w:rPr>
          <w:rFonts w:ascii="Noto Sans" w:eastAsia="Noto Sans" w:hAnsi="Noto Sans" w:cs="Noto Sans"/>
          <w:color w:val="000000"/>
          <w:sz w:val="20"/>
          <w:szCs w:val="20"/>
        </w:rPr>
        <w:t>rubě porušil své povinnosti stanovené v této smlouvě či povinnosti Tlumočníka jako osoby vykonávající tlumočnickou činnost podle Vyhlášky. Smluvní vztah zaniká okamžitě poté, co je Tlumočník o ukončení rámcové smlouvy ze strany ICP písemně informován.</w:t>
      </w:r>
    </w:p>
    <w:p w:rsidR="0053124C" w:rsidRDefault="00E227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Hrub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ým porušením povinností Tlumočníka se rozumí zejména, nikoliv však výlučně, závažné či opakované méně závažné porušení právních předpisů, pokynů ICP, pokynů OAMP MV ČR nebo dalších pokynů, se </w:t>
      </w:r>
      <w:r>
        <w:rPr>
          <w:rFonts w:ascii="Noto Sans" w:eastAsia="Noto Sans" w:hAnsi="Noto Sans" w:cs="Noto Sans"/>
          <w:color w:val="000000"/>
          <w:sz w:val="20"/>
          <w:szCs w:val="20"/>
        </w:rPr>
        <w:lastRenderedPageBreak/>
        <w:t xml:space="preserve">kterými byl Tlumočník ze strany ICP seznámen, nedodržení pokynů </w:t>
      </w:r>
      <w:r>
        <w:rPr>
          <w:rFonts w:ascii="Noto Sans" w:eastAsia="Noto Sans" w:hAnsi="Noto Sans" w:cs="Noto Sans"/>
          <w:color w:val="000000"/>
          <w:sz w:val="20"/>
          <w:szCs w:val="20"/>
        </w:rPr>
        <w:t>Organizace pověřené metodickým vedením (Slovo 21), opakované nedodání objednaných tlumočnických služeb bez předchozí notifikace a souhlasu ICP či využívání AIK k jiným činnostem, než které jsou definovány v § 12 Vyhlášky (např. nabízení zboží či služeb jej</w:t>
      </w:r>
      <w:r>
        <w:rPr>
          <w:rFonts w:ascii="Noto Sans" w:eastAsia="Noto Sans" w:hAnsi="Noto Sans" w:cs="Noto Sans"/>
          <w:color w:val="000000"/>
          <w:sz w:val="20"/>
          <w:szCs w:val="20"/>
        </w:rPr>
        <w:t>ich účastníkům).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Tato smlouva může dále zaniknout způsoby předvídanými příslušnými ustanoveními </w:t>
      </w:r>
      <w:proofErr w:type="spellStart"/>
      <w:r>
        <w:rPr>
          <w:rFonts w:ascii="Noto Sans" w:eastAsia="Noto Sans" w:hAnsi="Noto Sans" w:cs="Noto Sans"/>
          <w:color w:val="000000"/>
          <w:sz w:val="20"/>
          <w:szCs w:val="20"/>
        </w:rPr>
        <w:t>ObčZ</w:t>
      </w:r>
      <w:proofErr w:type="spellEnd"/>
      <w:r>
        <w:rPr>
          <w:rFonts w:ascii="Noto Sans" w:eastAsia="Noto Sans" w:hAnsi="Noto Sans" w:cs="Noto Sans"/>
          <w:color w:val="000000"/>
          <w:sz w:val="20"/>
          <w:szCs w:val="20"/>
        </w:rPr>
        <w:t>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color w:val="000000"/>
          <w:sz w:val="20"/>
          <w:szCs w:val="20"/>
        </w:rPr>
      </w:pP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Článek 8</w:t>
      </w:r>
    </w:p>
    <w:p w:rsidR="0053124C" w:rsidRDefault="00E2271B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color w:val="000000"/>
          <w:sz w:val="20"/>
          <w:szCs w:val="20"/>
        </w:rPr>
      </w:pP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Změny v údajích a platby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Smluvní strany jsou povinny písemně sdělit si případné změny v kontaktních údajích, včetně jmen, příjmení a e-mailových adres, neprodleně poté, co k takovým změnám dojde.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Odměna Tlumočníka bude vyplácena bankovním převodem na účet Tlumočníka uvedený na fa</w:t>
      </w:r>
      <w:r>
        <w:rPr>
          <w:rFonts w:ascii="Noto Sans" w:eastAsia="Noto Sans" w:hAnsi="Noto Sans" w:cs="Noto Sans"/>
          <w:color w:val="000000"/>
          <w:sz w:val="20"/>
          <w:szCs w:val="20"/>
        </w:rPr>
        <w:t>ktuře. Odměna je splatná k datu uvedenému na příslušné faktuře vystavené Tlumočníkem a doručené ICP za podmínek stanovených v této rámcové smlouvě, přičemž datum splatnosti faktury bude minimálně 20 dnů ode dne jejího vystavení Tlumočníkem.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Faktura musí obsahovat náležitosti účetního dokladu zakotvené v zákoně o účetnictví, případně daňového dokladu ve smyslu zákona o dani z přidané hodnoty a § 435 </w:t>
      </w:r>
      <w:proofErr w:type="spellStart"/>
      <w:r>
        <w:rPr>
          <w:rFonts w:ascii="Noto Sans" w:eastAsia="Noto Sans" w:hAnsi="Noto Sans" w:cs="Noto Sans"/>
          <w:color w:val="000000"/>
          <w:sz w:val="20"/>
          <w:szCs w:val="20"/>
        </w:rPr>
        <w:t>ObčZ</w:t>
      </w:r>
      <w:proofErr w:type="spellEnd"/>
      <w:r>
        <w:rPr>
          <w:rFonts w:ascii="Noto Sans" w:eastAsia="Noto Sans" w:hAnsi="Noto Sans" w:cs="Noto Sans"/>
          <w:color w:val="000000"/>
          <w:sz w:val="20"/>
          <w:szCs w:val="20"/>
        </w:rPr>
        <w:t>, a dále identifikaci Projektu označením „</w:t>
      </w:r>
      <w:r>
        <w:rPr>
          <w:rFonts w:ascii="Noto Sans" w:eastAsia="Noto Sans" w:hAnsi="Noto Sans" w:cs="Noto Sans"/>
          <w:b/>
          <w:bCs/>
          <w:color w:val="000000"/>
          <w:sz w:val="20"/>
          <w:szCs w:val="20"/>
        </w:rPr>
        <w:t>AIK ICP 2</w:t>
      </w:r>
      <w:r>
        <w:rPr>
          <w:rFonts w:ascii="Noto Sans" w:eastAsia="Noto Sans" w:hAnsi="Noto Sans" w:cs="Noto Sans"/>
          <w:b/>
          <w:bCs/>
          <w:sz w:val="20"/>
          <w:szCs w:val="20"/>
        </w:rPr>
        <w:t>6</w:t>
      </w:r>
      <w:r>
        <w:rPr>
          <w:rFonts w:ascii="Noto Sans" w:eastAsia="Noto Sans" w:hAnsi="Noto Sans" w:cs="Noto Sans"/>
          <w:color w:val="000000"/>
          <w:sz w:val="20"/>
          <w:szCs w:val="20"/>
        </w:rPr>
        <w:t>“ a daty objednaných služeb, za které v</w:t>
      </w:r>
      <w:r>
        <w:rPr>
          <w:rFonts w:ascii="Noto Sans" w:eastAsia="Noto Sans" w:hAnsi="Noto Sans" w:cs="Noto Sans"/>
          <w:color w:val="000000"/>
          <w:sz w:val="20"/>
          <w:szCs w:val="20"/>
        </w:rPr>
        <w:t>znikl nárok na odměnu. Nebude-li faktura obsahovat zákonem či touto smlouvou požadované náležitosti nebo bude chybně vyúčtována cena nebo DPH, je ICP oprávněno fakturu před uplynutím její splatnosti vrátit Tlumočníkovi k provedení opravy s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vyznačením důvod</w:t>
      </w:r>
      <w:r>
        <w:rPr>
          <w:rFonts w:ascii="Noto Sans" w:eastAsia="Noto Sans" w:hAnsi="Noto Sans" w:cs="Noto Sans"/>
          <w:color w:val="000000"/>
          <w:sz w:val="20"/>
          <w:szCs w:val="20"/>
        </w:rPr>
        <w:t>u vrácení. Tlumočník provede opravu vystavením nové faktury. Dnem vrácení faktury se přerušuje lhůta její splatnosti a nová lhůta splatnosti běží znovu ode dne doručení nové faktury ICP.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Datum, kdy byla platba odeslána na bankovní účet Tlumočníka uvedený </w:t>
      </w:r>
      <w:r>
        <w:rPr>
          <w:rFonts w:ascii="Noto Sans" w:eastAsia="Noto Sans" w:hAnsi="Noto Sans" w:cs="Noto Sans"/>
          <w:color w:val="000000"/>
          <w:sz w:val="20"/>
          <w:szCs w:val="20"/>
        </w:rPr>
        <w:t>na příslušném dokladu, je rozhodné pro posouzení, zda platba byla nebo nebyla provedena včas.</w:t>
      </w:r>
    </w:p>
    <w:p w:rsidR="0053124C" w:rsidRDefault="0053124C">
      <w:pPr>
        <w:spacing w:after="0"/>
        <w:ind w:right="-426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right="-426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Článek 9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Salvátorská klauzule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Pokud by jednotlivá ustanovení této rámcové smlouvy byla neplatná, popř. nerealizovatelná nebo se neplatnými či nerealizovatelným</w:t>
      </w:r>
      <w:r>
        <w:rPr>
          <w:rFonts w:ascii="Noto Sans" w:eastAsia="Noto Sans" w:hAnsi="Noto Sans" w:cs="Noto Sans"/>
          <w:color w:val="000000"/>
          <w:sz w:val="20"/>
          <w:szCs w:val="20"/>
        </w:rPr>
        <w:t>i stala, nebude tím dotčena platnost této rámcové smlouvy v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ostatních ujednáních. Smluvní strany se namísto uplatňování neplatnosti těchto ujednání zavazují nahradit neplatné nebo nerealizovatelné ustanovení takovým ujednáním, které se, pokud možno, svým o</w:t>
      </w:r>
      <w:r>
        <w:rPr>
          <w:rFonts w:ascii="Noto Sans" w:eastAsia="Noto Sans" w:hAnsi="Noto Sans" w:cs="Noto Sans"/>
          <w:color w:val="000000"/>
          <w:sz w:val="20"/>
          <w:szCs w:val="20"/>
        </w:rPr>
        <w:t>bsahem co nejvíce přiblíží zamýšlenému účelu původního ustanovení. To platí i pro vyplnění případných mezer v této rámcové smlouvě.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bookmarkStart w:id="2" w:name="_heading=h.heczamyffcya" w:colFirst="0" w:colLast="0"/>
      <w:bookmarkEnd w:id="2"/>
      <w:r>
        <w:rPr>
          <w:rFonts w:ascii="Noto Sans" w:eastAsia="Noto Sans" w:hAnsi="Noto Sans" w:cs="Noto Sans"/>
          <w:b/>
          <w:bCs/>
          <w:sz w:val="20"/>
          <w:szCs w:val="20"/>
        </w:rPr>
        <w:t>Článek 10</w:t>
      </w:r>
    </w:p>
    <w:p w:rsidR="0053124C" w:rsidRDefault="00E2271B">
      <w:pPr>
        <w:spacing w:after="0"/>
        <w:ind w:left="-284" w:right="-426"/>
        <w:jc w:val="center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Závěrečná ustanovení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lastRenderedPageBreak/>
        <w:t>Tato rámcová smlouva byla vyhotovena ve 2 stejnopisech, z nichž každý má právní sílu originálu a každá ze smluvních stran obdrží po jednom stejnopise.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Tato rámcová smlouva nabývá platnosti a účinnosti dnem podpisu oběma Stranami.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Žádná vedlejší ústní uje</w:t>
      </w:r>
      <w:r>
        <w:rPr>
          <w:rFonts w:ascii="Noto Sans" w:eastAsia="Noto Sans" w:hAnsi="Noto Sans" w:cs="Noto Sans"/>
          <w:color w:val="000000"/>
          <w:sz w:val="20"/>
          <w:szCs w:val="20"/>
        </w:rPr>
        <w:t>dnání k této rámcové smlouvě nebyla učiněna. Tato rámcová smlouva může být měněna pouze písemnými číslovanými dodatky, které budou podepsány oběma smluvními stranami.</w:t>
      </w:r>
    </w:p>
    <w:p w:rsidR="0053124C" w:rsidRDefault="0053124C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</w:p>
    <w:p w:rsidR="0053124C" w:rsidRDefault="00E2271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-284" w:right="-426"/>
        <w:jc w:val="both"/>
        <w:rPr>
          <w:rFonts w:ascii="Noto Sans" w:eastAsia="Noto Sans" w:hAnsi="Noto Sans" w:cs="Noto Sans"/>
          <w:color w:val="000000"/>
          <w:sz w:val="20"/>
          <w:szCs w:val="20"/>
        </w:rPr>
      </w:pPr>
      <w:r>
        <w:rPr>
          <w:rFonts w:ascii="Noto Sans" w:eastAsia="Noto Sans" w:hAnsi="Noto Sans" w:cs="Noto Sans"/>
          <w:color w:val="000000"/>
          <w:sz w:val="20"/>
          <w:szCs w:val="20"/>
        </w:rPr>
        <w:t>Smluvní strany prohlašují, že si tuto rámcovou smlouvu před jejím podpisem přečetly, sou</w:t>
      </w:r>
      <w:r>
        <w:rPr>
          <w:rFonts w:ascii="Noto Sans" w:eastAsia="Noto Sans" w:hAnsi="Noto Sans" w:cs="Noto Sans"/>
          <w:color w:val="000000"/>
          <w:sz w:val="20"/>
          <w:szCs w:val="20"/>
        </w:rPr>
        <w:t>hlasí s</w:t>
      </w:r>
      <w:r>
        <w:rPr>
          <w:rFonts w:ascii="Noto Sans" w:eastAsia="Noto Sans" w:hAnsi="Noto Sans" w:cs="Noto Sans"/>
          <w:sz w:val="20"/>
          <w:szCs w:val="20"/>
        </w:rPr>
        <w:t> </w:t>
      </w:r>
      <w:r>
        <w:rPr>
          <w:rFonts w:ascii="Noto Sans" w:eastAsia="Noto Sans" w:hAnsi="Noto Sans" w:cs="Noto Sans"/>
          <w:color w:val="000000"/>
          <w:sz w:val="20"/>
          <w:szCs w:val="20"/>
        </w:rPr>
        <w:t>jejím obsahem, dále prohlašují, že byla uzavřena po vzájemném projednání na základě jejich pravé a svobodné vůle, určitě, vážně a srozumitelně, nikoli v tísni ani za nápadně jednostranně nevýhodných podmínek, čímž vylučují uplatnění ustanovení § 17</w:t>
      </w:r>
      <w:r>
        <w:rPr>
          <w:rFonts w:ascii="Noto Sans" w:eastAsia="Noto Sans" w:hAnsi="Noto Sans" w:cs="Noto Sans"/>
          <w:color w:val="000000"/>
          <w:sz w:val="20"/>
          <w:szCs w:val="20"/>
        </w:rPr>
        <w:t xml:space="preserve">93 </w:t>
      </w:r>
      <w:proofErr w:type="spellStart"/>
      <w:r>
        <w:rPr>
          <w:rFonts w:ascii="Noto Sans" w:eastAsia="Noto Sans" w:hAnsi="Noto Sans" w:cs="Noto Sans"/>
          <w:color w:val="000000"/>
          <w:sz w:val="20"/>
          <w:szCs w:val="20"/>
        </w:rPr>
        <w:t>ObčZ</w:t>
      </w:r>
      <w:proofErr w:type="spellEnd"/>
      <w:r>
        <w:rPr>
          <w:rFonts w:ascii="Noto Sans" w:eastAsia="Noto Sans" w:hAnsi="Noto Sans" w:cs="Noto Sans"/>
          <w:color w:val="000000"/>
          <w:sz w:val="20"/>
          <w:szCs w:val="20"/>
        </w:rPr>
        <w:t xml:space="preserve"> na tuto rámcovou smlouvu, což vše stvrzují svými podpisy.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          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____________________________</w:t>
      </w:r>
      <w:r>
        <w:rPr>
          <w:rFonts w:ascii="Noto Sans" w:eastAsia="Noto Sans" w:hAnsi="Noto Sans" w:cs="Noto Sans"/>
          <w:sz w:val="20"/>
          <w:szCs w:val="20"/>
        </w:rPr>
        <w:tab/>
      </w:r>
      <w:r>
        <w:rPr>
          <w:rFonts w:ascii="Noto Sans" w:eastAsia="Noto Sans" w:hAnsi="Noto Sans" w:cs="Noto Sans"/>
          <w:sz w:val="20"/>
          <w:szCs w:val="20"/>
        </w:rPr>
        <w:tab/>
      </w:r>
      <w:r>
        <w:rPr>
          <w:rFonts w:ascii="Noto Sans" w:eastAsia="Noto Sans" w:hAnsi="Noto Sans" w:cs="Noto Sans"/>
          <w:sz w:val="20"/>
          <w:szCs w:val="20"/>
        </w:rPr>
        <w:tab/>
      </w:r>
      <w:r>
        <w:rPr>
          <w:rFonts w:ascii="Noto Sans" w:eastAsia="Noto Sans" w:hAnsi="Noto Sans" w:cs="Noto Sans"/>
          <w:sz w:val="20"/>
          <w:szCs w:val="20"/>
        </w:rPr>
        <w:tab/>
        <w:t>____________________________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za </w:t>
      </w:r>
      <w:r>
        <w:rPr>
          <w:rFonts w:ascii="Noto Sans" w:eastAsia="Noto Sans" w:hAnsi="Noto Sans" w:cs="Noto Sans"/>
          <w:b/>
          <w:bCs/>
          <w:sz w:val="20"/>
          <w:szCs w:val="20"/>
        </w:rPr>
        <w:t>Integrační centrum Praha, o.p.s.</w:t>
      </w:r>
      <w:r>
        <w:rPr>
          <w:rFonts w:ascii="Noto Sans" w:eastAsia="Noto Sans" w:hAnsi="Noto Sans" w:cs="Noto Sans"/>
          <w:b/>
          <w:bCs/>
          <w:sz w:val="20"/>
          <w:szCs w:val="20"/>
        </w:rPr>
        <w:tab/>
      </w:r>
      <w:r>
        <w:rPr>
          <w:rFonts w:ascii="Noto Sans" w:eastAsia="Noto Sans" w:hAnsi="Noto Sans" w:cs="Noto Sans"/>
          <w:b/>
          <w:bCs/>
          <w:sz w:val="20"/>
          <w:szCs w:val="20"/>
        </w:rPr>
        <w:tab/>
      </w:r>
      <w:r>
        <w:rPr>
          <w:rFonts w:ascii="Noto Sans" w:eastAsia="Noto Sans" w:hAnsi="Noto Sans" w:cs="Noto Sans"/>
          <w:b/>
          <w:bCs/>
          <w:sz w:val="20"/>
          <w:szCs w:val="20"/>
        </w:rPr>
        <w:tab/>
        <w:t>Jméno Příjmení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Mgr. Alen </w:t>
      </w:r>
      <w:proofErr w:type="spellStart"/>
      <w:r>
        <w:rPr>
          <w:rFonts w:ascii="Noto Sans" w:eastAsia="Noto Sans" w:hAnsi="Noto Sans" w:cs="Noto Sans"/>
          <w:sz w:val="20"/>
          <w:szCs w:val="20"/>
        </w:rPr>
        <w:t>Kovačević</w:t>
      </w:r>
      <w:proofErr w:type="spellEnd"/>
      <w:r>
        <w:rPr>
          <w:rFonts w:ascii="Noto Sans" w:eastAsia="Noto Sans" w:hAnsi="Noto Sans" w:cs="Noto Sans"/>
          <w:sz w:val="20"/>
          <w:szCs w:val="20"/>
        </w:rPr>
        <w:t>, ředitel</w:t>
      </w: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53124C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b/>
          <w:bCs/>
          <w:sz w:val="20"/>
          <w:szCs w:val="20"/>
        </w:rPr>
      </w:pPr>
      <w:r>
        <w:rPr>
          <w:rFonts w:ascii="Noto Sans" w:eastAsia="Noto Sans" w:hAnsi="Noto Sans" w:cs="Noto Sans"/>
          <w:b/>
          <w:bCs/>
          <w:sz w:val="20"/>
          <w:szCs w:val="20"/>
        </w:rPr>
        <w:t>PŘÍLOHY: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 xml:space="preserve">ke stažení pod odkazem: </w:t>
      </w:r>
      <w:hyperlink r:id="rId8">
        <w:r>
          <w:rPr>
            <w:rFonts w:ascii="Noto Sans" w:eastAsia="Noto Sans" w:hAnsi="Noto Sans" w:cs="Noto Sans"/>
            <w:color w:val="0000FF"/>
            <w:sz w:val="20"/>
            <w:szCs w:val="20"/>
            <w:u w:val="single"/>
          </w:rPr>
          <w:t>https://icpraha.com/ke-stazeni</w:t>
        </w:r>
      </w:hyperlink>
      <w:r>
        <w:rPr>
          <w:rFonts w:ascii="Noto Sans" w:eastAsia="Noto Sans" w:hAnsi="Noto Sans" w:cs="Noto Sans"/>
          <w:sz w:val="20"/>
          <w:szCs w:val="20"/>
        </w:rPr>
        <w:t>, ve složce “Dokumenty pro lektory a tlumočníky AIK”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Příloha č. 1: Objednávání a fakturace služeb lektorů a tlumočníků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Příloha č. 2: Etický kodex pro le</w:t>
      </w:r>
      <w:r>
        <w:rPr>
          <w:rFonts w:ascii="Noto Sans" w:eastAsia="Noto Sans" w:hAnsi="Noto Sans" w:cs="Noto Sans"/>
          <w:sz w:val="20"/>
          <w:szCs w:val="20"/>
        </w:rPr>
        <w:t>ktory a tlumočníky AIK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r>
        <w:rPr>
          <w:rFonts w:ascii="Noto Sans" w:eastAsia="Noto Sans" w:hAnsi="Noto Sans" w:cs="Noto Sans"/>
          <w:sz w:val="20"/>
          <w:szCs w:val="20"/>
        </w:rPr>
        <w:t>Pokyny pro bezpečnost pro lektory a tlumočníky AIK</w:t>
      </w:r>
    </w:p>
    <w:p w:rsidR="0053124C" w:rsidRDefault="00E2271B">
      <w:pPr>
        <w:spacing w:after="0"/>
        <w:ind w:left="-284" w:right="-426"/>
        <w:jc w:val="both"/>
        <w:rPr>
          <w:rFonts w:ascii="Noto Sans" w:eastAsia="Noto Sans" w:hAnsi="Noto Sans" w:cs="Noto Sans"/>
          <w:sz w:val="20"/>
          <w:szCs w:val="20"/>
        </w:rPr>
      </w:pPr>
      <w:proofErr w:type="spellStart"/>
      <w:r>
        <w:rPr>
          <w:rFonts w:ascii="Noto Sans" w:eastAsia="Noto Sans" w:hAnsi="Noto Sans" w:cs="Noto Sans"/>
          <w:sz w:val="20"/>
          <w:szCs w:val="20"/>
        </w:rPr>
        <w:t>GDPR_Informace</w:t>
      </w:r>
      <w:proofErr w:type="spellEnd"/>
      <w:r>
        <w:rPr>
          <w:rFonts w:ascii="Noto Sans" w:eastAsia="Noto Sans" w:hAnsi="Noto Sans" w:cs="Noto Sans"/>
          <w:sz w:val="20"/>
          <w:szCs w:val="20"/>
        </w:rPr>
        <w:t xml:space="preserve"> o zpracování osobních údajů lektorů a tlumočníků AIK</w:t>
      </w:r>
    </w:p>
    <w:sectPr w:rsidR="005312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41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71B" w:rsidRDefault="00E2271B">
      <w:pPr>
        <w:spacing w:after="0" w:line="240" w:lineRule="auto"/>
      </w:pPr>
      <w:r>
        <w:separator/>
      </w:r>
    </w:p>
  </w:endnote>
  <w:endnote w:type="continuationSeparator" w:id="0">
    <w:p w:rsidR="00E2271B" w:rsidRDefault="00E2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72FA37A-640B-43A7-8805-D52A738DAC72}"/>
    <w:embedBold r:id="rId2" w:fontKey="{C3F12763-2FF7-48EC-9D36-9F83D28D33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66169EA-5AC3-48EB-8C11-58FDB326843C}"/>
  </w:font>
  <w:font w:name="Noto Sans">
    <w:panose1 w:val="020B0502040504020204"/>
    <w:charset w:val="EE"/>
    <w:family w:val="swiss"/>
    <w:pitch w:val="variable"/>
    <w:sig w:usb0="E00002FF" w:usb1="4000201F" w:usb2="08000029" w:usb3="00000000" w:csb0="0000019F" w:csb1="00000000"/>
    <w:embedRegular r:id="rId4" w:fontKey="{ED7AF993-4132-4BE5-97B1-481F3620FFC5}"/>
    <w:embedBold r:id="rId5" w:fontKey="{AB4E1443-AC7D-4A5D-BC6C-34AAAB28092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BA1CADB-6DF8-4B59-8D14-04D4B5804C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24C" w:rsidRDefault="005312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24C" w:rsidRDefault="00E227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4339A">
      <w:rPr>
        <w:color w:val="000000"/>
      </w:rPr>
      <w:fldChar w:fldCharType="separate"/>
    </w:r>
    <w:r w:rsidR="0044339A">
      <w:rPr>
        <w:noProof/>
        <w:color w:val="000000"/>
      </w:rPr>
      <w:t>2</w:t>
    </w:r>
    <w:r>
      <w:rPr>
        <w:color w:val="000000"/>
      </w:rPr>
      <w:fldChar w:fldCharType="end"/>
    </w:r>
  </w:p>
  <w:p w:rsidR="0053124C" w:rsidRDefault="005312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24C" w:rsidRDefault="0053124C"/>
  <w:p w:rsidR="0053124C" w:rsidRDefault="00E2271B">
    <w:pPr>
      <w:pBdr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color w:val="000000"/>
      </w:rPr>
    </w:pPr>
    <w:r>
      <w:rPr>
        <w:rFonts w:ascii="Noto Sans" w:eastAsia="Noto Sans" w:hAnsi="Noto Sans" w:cs="Noto Sans"/>
        <w:color w:val="000000"/>
        <w:sz w:val="20"/>
        <w:szCs w:val="20"/>
      </w:rPr>
      <w:t>Aktivita probíhá v rámci projektu AIK ICP 26 na integraci cizinců financovaného MV ČR v rámci dotačního programu Adaptačně-integrační kurzy 202</w:t>
    </w:r>
    <w:r>
      <w:rPr>
        <w:rFonts w:ascii="Noto Sans" w:eastAsia="Noto Sans" w:hAnsi="Noto Sans" w:cs="Noto Sans"/>
        <w:sz w:val="20"/>
        <w:szCs w:val="20"/>
      </w:rPr>
      <w:t>6</w:t>
    </w:r>
    <w:r>
      <w:rPr>
        <w:rFonts w:ascii="Noto Sans" w:eastAsia="Noto Sans" w:hAnsi="Noto Sans" w:cs="Noto Sans"/>
        <w:color w:val="000000"/>
        <w:sz w:val="20"/>
        <w:szCs w:val="20"/>
      </w:rPr>
      <w:t xml:space="preserve"> (Rozhodnutí č. </w:t>
    </w:r>
    <w:r>
      <w:rPr>
        <w:rFonts w:ascii="Noto Sans" w:eastAsia="Noto Sans" w:hAnsi="Noto Sans" w:cs="Noto Sans"/>
        <w:sz w:val="20"/>
        <w:szCs w:val="20"/>
      </w:rPr>
      <w:t>2</w:t>
    </w:r>
    <w:r>
      <w:rPr>
        <w:rFonts w:ascii="Noto Sans" w:eastAsia="Noto Sans" w:hAnsi="Noto Sans" w:cs="Noto Sans"/>
        <w:color w:val="000000"/>
        <w:sz w:val="20"/>
        <w:szCs w:val="20"/>
      </w:rPr>
      <w:t>/20</w:t>
    </w:r>
    <w:r>
      <w:rPr>
        <w:rFonts w:ascii="Noto Sans" w:eastAsia="Noto Sans" w:hAnsi="Noto Sans" w:cs="Noto Sans"/>
        <w:sz w:val="20"/>
        <w:szCs w:val="20"/>
      </w:rPr>
      <w:t>26 AIK</w:t>
    </w:r>
    <w:r>
      <w:rPr>
        <w:rFonts w:ascii="Noto Sans" w:eastAsia="Noto Sans" w:hAnsi="Noto Sans" w:cs="Noto Sans"/>
        <w:color w:val="000000"/>
        <w:sz w:val="20"/>
        <w:szCs w:val="20"/>
      </w:rPr>
      <w:t>).</w:t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4765040</wp:posOffset>
          </wp:positionH>
          <wp:positionV relativeFrom="paragraph">
            <wp:posOffset>6350</wp:posOffset>
          </wp:positionV>
          <wp:extent cx="1054735" cy="581025"/>
          <wp:effectExtent l="0" t="0" r="0" b="0"/>
          <wp:wrapSquare wrapText="bothSides" distT="0" distB="0" distL="114300" distR="11430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71B" w:rsidRDefault="00E2271B">
      <w:pPr>
        <w:spacing w:after="0" w:line="240" w:lineRule="auto"/>
      </w:pPr>
      <w:r>
        <w:separator/>
      </w:r>
    </w:p>
  </w:footnote>
  <w:footnote w:type="continuationSeparator" w:id="0">
    <w:p w:rsidR="00E2271B" w:rsidRDefault="00E2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24C" w:rsidRDefault="005312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24C" w:rsidRDefault="005312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53124C" w:rsidRDefault="005312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24C" w:rsidRDefault="004433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bookmarkStart w:id="3" w:name="_heading=h.eclghzyfqhvl" w:colFirst="0" w:colLast="0"/>
    <w:bookmarkEnd w:id="3"/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4365625</wp:posOffset>
          </wp:positionH>
          <wp:positionV relativeFrom="paragraph">
            <wp:posOffset>-861695</wp:posOffset>
          </wp:positionV>
          <wp:extent cx="1624965" cy="933450"/>
          <wp:effectExtent l="0" t="0" r="0" b="0"/>
          <wp:wrapSquare wrapText="bothSides" distT="0" distB="0" distL="114300" distR="114300"/>
          <wp:docPr id="2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965" cy="933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2271B"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margin">
            <wp:posOffset>1918335</wp:posOffset>
          </wp:positionH>
          <wp:positionV relativeFrom="page">
            <wp:posOffset>175895</wp:posOffset>
          </wp:positionV>
          <wp:extent cx="1663065" cy="1114425"/>
          <wp:effectExtent l="0" t="0" r="0" b="0"/>
          <wp:wrapSquare wrapText="bothSides" distT="114300" distB="114300" distL="114300" distR="11430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16018" b="16988"/>
                  <a:stretch>
                    <a:fillRect/>
                  </a:stretch>
                </pic:blipFill>
                <pic:spPr>
                  <a:xfrm>
                    <a:off x="0" y="0"/>
                    <a:ext cx="1663065" cy="1114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2271B"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-329563</wp:posOffset>
          </wp:positionH>
          <wp:positionV relativeFrom="paragraph">
            <wp:posOffset>-724533</wp:posOffset>
          </wp:positionV>
          <wp:extent cx="1470025" cy="668655"/>
          <wp:effectExtent l="0" t="0" r="0" b="0"/>
          <wp:wrapSquare wrapText="bothSides" distT="0" distB="0" distL="114300" distR="114300"/>
          <wp:docPr id="1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0025" cy="668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379D0"/>
    <w:multiLevelType w:val="multilevel"/>
    <w:tmpl w:val="F168BF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80FFB"/>
    <w:multiLevelType w:val="multilevel"/>
    <w:tmpl w:val="9CD8A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75DC7"/>
    <w:multiLevelType w:val="multilevel"/>
    <w:tmpl w:val="AE66EC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02C99"/>
    <w:multiLevelType w:val="multilevel"/>
    <w:tmpl w:val="6B5C274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D665B0"/>
    <w:multiLevelType w:val="multilevel"/>
    <w:tmpl w:val="AB2897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21A04"/>
    <w:multiLevelType w:val="multilevel"/>
    <w:tmpl w:val="A914D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33EC"/>
    <w:multiLevelType w:val="multilevel"/>
    <w:tmpl w:val="616E0CD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593AB8"/>
    <w:multiLevelType w:val="multilevel"/>
    <w:tmpl w:val="C248D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C33C9"/>
    <w:multiLevelType w:val="multilevel"/>
    <w:tmpl w:val="A5180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D7C2D"/>
    <w:multiLevelType w:val="multilevel"/>
    <w:tmpl w:val="4242298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885D14"/>
    <w:multiLevelType w:val="multilevel"/>
    <w:tmpl w:val="27A65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04793"/>
    <w:multiLevelType w:val="multilevel"/>
    <w:tmpl w:val="0DA8550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65D8B"/>
    <w:multiLevelType w:val="multilevel"/>
    <w:tmpl w:val="CC4CFB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2"/>
  </w:num>
  <w:num w:numId="9">
    <w:abstractNumId w:val="9"/>
  </w:num>
  <w:num w:numId="10">
    <w:abstractNumId w:val="10"/>
  </w:num>
  <w:num w:numId="11">
    <w:abstractNumId w:val="1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24C"/>
    <w:rsid w:val="0044339A"/>
    <w:rsid w:val="0053124C"/>
    <w:rsid w:val="00E2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85EB6-DA0C-4245-9753-452889F5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link w:val="ZhlavChar"/>
    <w:uiPriority w:val="99"/>
    <w:unhideWhenUsed/>
    <w:rsid w:val="00CF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F65F8"/>
  </w:style>
  <w:style w:type="paragraph" w:styleId="Zpat">
    <w:name w:val="footer"/>
    <w:link w:val="ZpatChar"/>
    <w:uiPriority w:val="99"/>
    <w:unhideWhenUsed/>
    <w:rsid w:val="00CF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65F8"/>
  </w:style>
  <w:style w:type="paragraph" w:styleId="Odstavecseseznamem">
    <w:name w:val="List Paragraph"/>
    <w:uiPriority w:val="34"/>
    <w:qFormat/>
    <w:rsid w:val="009A0202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praha.com/ke-stazen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Pu6IuZHlpl8X5mP0Id5CkuZJA==">CgMxLjAyCGguZ2pkZ3hzMg5oLmhlY3phbXlmZmN5YTIOaC5lY2xnaHp5ZnFodmw4AHIhMTN4elNRb3RrSUZXNjFfS1ZPQ2RJVVNUbDRpbVp2UXlT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11165</Characters>
  <Application>Microsoft Office Word</Application>
  <DocSecurity>0</DocSecurity>
  <Lines>93</Lines>
  <Paragraphs>26</Paragraphs>
  <ScaleCrop>false</ScaleCrop>
  <Company/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ICP User</dc:creator>
  <cp:lastModifiedBy>ICP User</cp:lastModifiedBy>
  <cp:revision>2</cp:revision>
  <dcterms:created xsi:type="dcterms:W3CDTF">2025-12-29T11:44:00Z</dcterms:created>
  <dcterms:modified xsi:type="dcterms:W3CDTF">2026-05-19T19:13:00Z</dcterms:modified>
</cp:coreProperties>
</file>