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7E50" w:rsidRDefault="00AB7E50">
      <w:pPr>
        <w:spacing w:after="0"/>
        <w:ind w:right="-426"/>
        <w:jc w:val="both"/>
        <w:rPr>
          <w:rFonts w:ascii="Noto Sans" w:eastAsia="Noto Sans" w:hAnsi="Noto Sans" w:cs="Noto Sans"/>
          <w:sz w:val="24"/>
          <w:szCs w:val="24"/>
        </w:rPr>
      </w:pP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 xml:space="preserve">číslo smlouvy: </w:t>
      </w:r>
    </w:p>
    <w:p w:rsidR="00AB7E50" w:rsidRDefault="00DA450E">
      <w:pPr>
        <w:spacing w:after="0"/>
        <w:ind w:right="-426"/>
        <w:jc w:val="both"/>
        <w:rPr>
          <w:rFonts w:ascii="Noto Sans" w:eastAsia="Noto Sans" w:hAnsi="Noto Sans" w:cs="Noto Sans"/>
          <w:b/>
          <w:bCs/>
          <w:sz w:val="32"/>
          <w:szCs w:val="32"/>
        </w:rPr>
      </w:pPr>
      <w:r>
        <w:rPr>
          <w:rFonts w:ascii="Noto Sans" w:eastAsia="Noto Sans" w:hAnsi="Noto Sans" w:cs="Noto Sans"/>
          <w:b/>
          <w:bCs/>
          <w:sz w:val="32"/>
          <w:szCs w:val="32"/>
        </w:rPr>
        <w:t>Rámcová smlouva o poskytování služeb na objednávku</w:t>
      </w:r>
    </w:p>
    <w:p w:rsidR="00AB7E50" w:rsidRDefault="00DA450E">
      <w:pPr>
        <w:pBdr>
          <w:bottom w:val="single" w:sz="12" w:space="1" w:color="000000"/>
        </w:pBdr>
        <w:spacing w:after="0"/>
        <w:ind w:right="-426"/>
        <w:jc w:val="both"/>
        <w:rPr>
          <w:rFonts w:ascii="Noto Sans" w:eastAsia="Noto Sans" w:hAnsi="Noto Sans" w:cs="Noto Sans"/>
          <w:sz w:val="16"/>
          <w:szCs w:val="16"/>
        </w:rPr>
      </w:pPr>
      <w:r>
        <w:rPr>
          <w:rFonts w:ascii="Noto Sans" w:eastAsia="Noto Sans" w:hAnsi="Noto Sans" w:cs="Noto Sans"/>
          <w:sz w:val="16"/>
          <w:szCs w:val="16"/>
        </w:rPr>
        <w:t xml:space="preserve">uzavřená v souladu s </w:t>
      </w:r>
      <w:proofErr w:type="spellStart"/>
      <w:r>
        <w:rPr>
          <w:rFonts w:ascii="Noto Sans" w:eastAsia="Noto Sans" w:hAnsi="Noto Sans" w:cs="Noto Sans"/>
          <w:sz w:val="16"/>
          <w:szCs w:val="16"/>
        </w:rPr>
        <w:t>ust</w:t>
      </w:r>
      <w:proofErr w:type="spellEnd"/>
      <w:r>
        <w:rPr>
          <w:rFonts w:ascii="Noto Sans" w:eastAsia="Noto Sans" w:hAnsi="Noto Sans" w:cs="Noto Sans"/>
          <w:sz w:val="16"/>
          <w:szCs w:val="16"/>
        </w:rPr>
        <w:t>. § 1746 odst. 2 zákona č. 89/2012 Sb., občanský zákoník, v platném znění</w:t>
      </w: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both"/>
        <w:rPr>
          <w:rFonts w:ascii="Noto Sans" w:eastAsia="Noto Sans" w:hAnsi="Noto Sans" w:cs="Noto Sans"/>
          <w:b/>
          <w:bCs/>
          <w:sz w:val="20"/>
          <w:szCs w:val="20"/>
        </w:rPr>
      </w:pPr>
      <w:r>
        <w:rPr>
          <w:rFonts w:ascii="Noto Sans" w:eastAsia="Noto Sans" w:hAnsi="Noto Sans" w:cs="Noto Sans"/>
          <w:b/>
          <w:bCs/>
          <w:sz w:val="20"/>
          <w:szCs w:val="20"/>
        </w:rPr>
        <w:t>Integrační centrum Praha, o.p.s.</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IČO: 242 28 320 </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sídlem: Žitná 1574/51, 110 00 Praha 1 </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číslo bankovního účtu: 2901931530/2010 </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zastoupená Mgr. </w:t>
      </w:r>
      <w:proofErr w:type="spellStart"/>
      <w:r>
        <w:rPr>
          <w:rFonts w:ascii="Noto Sans" w:eastAsia="Noto Sans" w:hAnsi="Noto Sans" w:cs="Noto Sans"/>
          <w:sz w:val="20"/>
          <w:szCs w:val="20"/>
        </w:rPr>
        <w:t>Alenem</w:t>
      </w:r>
      <w:proofErr w:type="spellEnd"/>
      <w:r>
        <w:rPr>
          <w:rFonts w:ascii="Noto Sans" w:eastAsia="Noto Sans" w:hAnsi="Noto Sans" w:cs="Noto Sans"/>
          <w:sz w:val="20"/>
          <w:szCs w:val="20"/>
        </w:rPr>
        <w:t xml:space="preserve"> </w:t>
      </w:r>
      <w:proofErr w:type="spellStart"/>
      <w:r>
        <w:rPr>
          <w:rFonts w:ascii="Noto Sans" w:eastAsia="Noto Sans" w:hAnsi="Noto Sans" w:cs="Noto Sans"/>
          <w:sz w:val="20"/>
          <w:szCs w:val="20"/>
        </w:rPr>
        <w:t>Kovačevićem</w:t>
      </w:r>
      <w:proofErr w:type="spellEnd"/>
      <w:r>
        <w:rPr>
          <w:rFonts w:ascii="Noto Sans" w:eastAsia="Noto Sans" w:hAnsi="Noto Sans" w:cs="Noto Sans"/>
          <w:sz w:val="20"/>
          <w:szCs w:val="20"/>
        </w:rPr>
        <w:t xml:space="preserve">, ředitelem </w:t>
      </w: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dále jen jako „</w:t>
      </w:r>
      <w:r>
        <w:rPr>
          <w:rFonts w:ascii="Noto Sans" w:eastAsia="Noto Sans" w:hAnsi="Noto Sans" w:cs="Noto Sans"/>
          <w:b/>
          <w:bCs/>
          <w:sz w:val="20"/>
          <w:szCs w:val="20"/>
        </w:rPr>
        <w:t>ICP</w:t>
      </w:r>
      <w:r>
        <w:rPr>
          <w:rFonts w:ascii="Noto Sans" w:eastAsia="Noto Sans" w:hAnsi="Noto Sans" w:cs="Noto Sans"/>
          <w:sz w:val="20"/>
          <w:szCs w:val="20"/>
        </w:rPr>
        <w:t xml:space="preserve">“ na straně jedné </w:t>
      </w: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a </w:t>
      </w: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both"/>
        <w:rPr>
          <w:rFonts w:ascii="Noto Sans" w:eastAsia="Noto Sans" w:hAnsi="Noto Sans" w:cs="Noto Sans"/>
          <w:b/>
          <w:bCs/>
          <w:sz w:val="20"/>
          <w:szCs w:val="20"/>
        </w:rPr>
      </w:pPr>
      <w:r>
        <w:rPr>
          <w:rFonts w:ascii="Noto Sans" w:eastAsia="Noto Sans" w:hAnsi="Noto Sans" w:cs="Noto Sans"/>
          <w:b/>
          <w:bCs/>
          <w:sz w:val="20"/>
          <w:szCs w:val="20"/>
        </w:rPr>
        <w:t>Jméno Příjmení</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IČO: </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sídlem/bytem: </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e-mail pro komunikaci: </w:t>
      </w: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 xml:space="preserve">telefonní číslo pro komunikaci: +420 </w:t>
      </w: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dále jen jako „</w:t>
      </w:r>
      <w:r>
        <w:rPr>
          <w:rFonts w:ascii="Noto Sans" w:eastAsia="Noto Sans" w:hAnsi="Noto Sans" w:cs="Noto Sans"/>
          <w:b/>
          <w:bCs/>
          <w:sz w:val="20"/>
          <w:szCs w:val="20"/>
        </w:rPr>
        <w:t>Lektor</w:t>
      </w:r>
      <w:r>
        <w:rPr>
          <w:rFonts w:ascii="Noto Sans" w:eastAsia="Noto Sans" w:hAnsi="Noto Sans" w:cs="Noto Sans"/>
          <w:sz w:val="20"/>
          <w:szCs w:val="20"/>
        </w:rPr>
        <w:t xml:space="preserve">“ na </w:t>
      </w:r>
      <w:r>
        <w:rPr>
          <w:rFonts w:ascii="Noto Sans" w:eastAsia="Noto Sans" w:hAnsi="Noto Sans" w:cs="Noto Sans"/>
          <w:sz w:val="20"/>
          <w:szCs w:val="20"/>
        </w:rPr>
        <w:t>straně druhé,</w:t>
      </w: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both"/>
        <w:rPr>
          <w:rFonts w:ascii="Noto Sans" w:eastAsia="Noto Sans" w:hAnsi="Noto Sans" w:cs="Noto Sans"/>
          <w:sz w:val="20"/>
          <w:szCs w:val="20"/>
        </w:rPr>
      </w:pPr>
      <w:r>
        <w:rPr>
          <w:rFonts w:ascii="Noto Sans" w:eastAsia="Noto Sans" w:hAnsi="Noto Sans" w:cs="Noto Sans"/>
          <w:sz w:val="20"/>
          <w:szCs w:val="20"/>
        </w:rPr>
        <w:t>ICP a Lektor dále společně také jako „</w:t>
      </w:r>
      <w:r>
        <w:rPr>
          <w:rFonts w:ascii="Noto Sans" w:eastAsia="Noto Sans" w:hAnsi="Noto Sans" w:cs="Noto Sans"/>
          <w:b/>
          <w:bCs/>
          <w:sz w:val="20"/>
          <w:szCs w:val="20"/>
        </w:rPr>
        <w:t>Strany</w:t>
      </w:r>
      <w:r>
        <w:rPr>
          <w:rFonts w:ascii="Noto Sans" w:eastAsia="Noto Sans" w:hAnsi="Noto Sans" w:cs="Noto Sans"/>
          <w:sz w:val="20"/>
          <w:szCs w:val="20"/>
        </w:rPr>
        <w:t>“ či „</w:t>
      </w:r>
      <w:r>
        <w:rPr>
          <w:rFonts w:ascii="Noto Sans" w:eastAsia="Noto Sans" w:hAnsi="Noto Sans" w:cs="Noto Sans"/>
          <w:b/>
          <w:bCs/>
          <w:sz w:val="20"/>
          <w:szCs w:val="20"/>
        </w:rPr>
        <w:t>Smluvní strany</w:t>
      </w:r>
      <w:r>
        <w:rPr>
          <w:rFonts w:ascii="Noto Sans" w:eastAsia="Noto Sans" w:hAnsi="Noto Sans" w:cs="Noto Sans"/>
          <w:sz w:val="20"/>
          <w:szCs w:val="20"/>
        </w:rPr>
        <w:t>“ podle ustanovení § 1746 odst. 2 zákona č. 89/2012 Sb., občanský zákoník, v platném znění (dále jen jako „</w:t>
      </w:r>
      <w:proofErr w:type="spellStart"/>
      <w:r>
        <w:rPr>
          <w:rFonts w:ascii="Noto Sans" w:eastAsia="Noto Sans" w:hAnsi="Noto Sans" w:cs="Noto Sans"/>
          <w:b/>
          <w:bCs/>
          <w:sz w:val="20"/>
          <w:szCs w:val="20"/>
        </w:rPr>
        <w:t>ObčZ</w:t>
      </w:r>
      <w:proofErr w:type="spellEnd"/>
      <w:r>
        <w:rPr>
          <w:rFonts w:ascii="Noto Sans" w:eastAsia="Noto Sans" w:hAnsi="Noto Sans" w:cs="Noto Sans"/>
          <w:sz w:val="20"/>
          <w:szCs w:val="20"/>
        </w:rPr>
        <w:t xml:space="preserve">“) níže uvedeného dne, měsíce a roku uzavírají tuto </w:t>
      </w:r>
      <w:r>
        <w:rPr>
          <w:rFonts w:ascii="Noto Sans" w:eastAsia="Noto Sans" w:hAnsi="Noto Sans" w:cs="Noto Sans"/>
          <w:b/>
          <w:bCs/>
          <w:sz w:val="20"/>
          <w:szCs w:val="20"/>
        </w:rPr>
        <w:t>Rámcovou smlouvu o poskytování služeb na objednávku</w:t>
      </w:r>
      <w:r>
        <w:rPr>
          <w:rFonts w:ascii="Noto Sans" w:eastAsia="Noto Sans" w:hAnsi="Noto Sans" w:cs="Noto Sans"/>
          <w:sz w:val="20"/>
          <w:szCs w:val="20"/>
        </w:rPr>
        <w:t xml:space="preserve"> (dále jen „</w:t>
      </w:r>
      <w:r>
        <w:rPr>
          <w:rFonts w:ascii="Noto Sans" w:eastAsia="Noto Sans" w:hAnsi="Noto Sans" w:cs="Noto Sans"/>
          <w:b/>
          <w:bCs/>
          <w:sz w:val="20"/>
          <w:szCs w:val="20"/>
        </w:rPr>
        <w:t>rámcová smlouva</w:t>
      </w:r>
      <w:r>
        <w:rPr>
          <w:rFonts w:ascii="Noto Sans" w:eastAsia="Noto Sans" w:hAnsi="Noto Sans" w:cs="Noto Sans"/>
          <w:sz w:val="20"/>
          <w:szCs w:val="20"/>
        </w:rPr>
        <w:t>“).</w:t>
      </w:r>
    </w:p>
    <w:p w:rsidR="00AB7E50" w:rsidRDefault="00AB7E50">
      <w:pPr>
        <w:spacing w:after="0" w:line="276" w:lineRule="auto"/>
        <w:ind w:right="-426"/>
        <w:jc w:val="both"/>
        <w:rPr>
          <w:rFonts w:ascii="Noto Sans" w:eastAsia="Noto Sans" w:hAnsi="Noto Sans" w:cs="Noto Sans"/>
          <w:sz w:val="20"/>
          <w:szCs w:val="20"/>
        </w:rPr>
      </w:pP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center"/>
        <w:rPr>
          <w:rFonts w:ascii="Noto Sans" w:eastAsia="Noto Sans" w:hAnsi="Noto Sans" w:cs="Noto Sans"/>
          <w:b/>
          <w:bCs/>
          <w:sz w:val="20"/>
          <w:szCs w:val="20"/>
        </w:rPr>
      </w:pPr>
      <w:r>
        <w:rPr>
          <w:rFonts w:ascii="Noto Sans" w:eastAsia="Noto Sans" w:hAnsi="Noto Sans" w:cs="Noto Sans"/>
          <w:b/>
          <w:bCs/>
          <w:sz w:val="20"/>
          <w:szCs w:val="20"/>
        </w:rPr>
        <w:t>Článek 1</w:t>
      </w:r>
    </w:p>
    <w:p w:rsidR="00AB7E50" w:rsidRDefault="00DA450E">
      <w:pPr>
        <w:spacing w:after="0" w:line="276" w:lineRule="auto"/>
        <w:ind w:right="-426"/>
        <w:jc w:val="center"/>
        <w:rPr>
          <w:rFonts w:ascii="Noto Sans" w:eastAsia="Noto Sans" w:hAnsi="Noto Sans" w:cs="Noto Sans"/>
          <w:b/>
          <w:bCs/>
          <w:sz w:val="20"/>
          <w:szCs w:val="20"/>
        </w:rPr>
      </w:pPr>
      <w:r>
        <w:rPr>
          <w:rFonts w:ascii="Noto Sans" w:eastAsia="Noto Sans" w:hAnsi="Noto Sans" w:cs="Noto Sans"/>
          <w:b/>
          <w:bCs/>
          <w:sz w:val="20"/>
          <w:szCs w:val="20"/>
        </w:rPr>
        <w:t>Preambule</w:t>
      </w:r>
    </w:p>
    <w:p w:rsidR="00AB7E50" w:rsidRDefault="00AB7E50">
      <w:pPr>
        <w:pBdr>
          <w:top w:val="nil"/>
          <w:left w:val="nil"/>
          <w:bottom w:val="nil"/>
          <w:right w:val="nil"/>
          <w:between w:val="nil"/>
        </w:pBdr>
        <w:spacing w:after="0" w:line="240" w:lineRule="auto"/>
        <w:rPr>
          <w:rFonts w:ascii="Noto Sans" w:eastAsia="Noto Sans" w:hAnsi="Noto Sans" w:cs="Noto Sans"/>
          <w:color w:val="000000"/>
          <w:sz w:val="20"/>
          <w:szCs w:val="20"/>
        </w:rPr>
      </w:pPr>
    </w:p>
    <w:p w:rsidR="00AB7E50" w:rsidRDefault="00DA450E">
      <w:pPr>
        <w:numPr>
          <w:ilvl w:val="0"/>
          <w:numId w:val="2"/>
        </w:num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r>
        <w:rPr>
          <w:rFonts w:ascii="Noto Sans" w:eastAsia="Noto Sans" w:hAnsi="Noto Sans" w:cs="Noto Sans"/>
          <w:color w:val="000000"/>
          <w:sz w:val="20"/>
          <w:szCs w:val="20"/>
        </w:rPr>
        <w:t xml:space="preserve">ICP je obecně prospěšnou společností, která provozuje v souladu s § </w:t>
      </w:r>
      <w:proofErr w:type="gramStart"/>
      <w:r>
        <w:rPr>
          <w:rFonts w:ascii="Noto Sans" w:eastAsia="Noto Sans" w:hAnsi="Noto Sans" w:cs="Noto Sans"/>
          <w:color w:val="000000"/>
          <w:sz w:val="20"/>
          <w:szCs w:val="20"/>
        </w:rPr>
        <w:t>155a</w:t>
      </w:r>
      <w:proofErr w:type="gramEnd"/>
      <w:r>
        <w:rPr>
          <w:rFonts w:ascii="Noto Sans" w:eastAsia="Noto Sans" w:hAnsi="Noto Sans" w:cs="Noto Sans"/>
          <w:color w:val="000000"/>
          <w:sz w:val="20"/>
          <w:szCs w:val="20"/>
        </w:rPr>
        <w:t xml:space="preserve"> zákona č.</w:t>
      </w:r>
      <w:r>
        <w:rPr>
          <w:rFonts w:ascii="Noto Sans" w:eastAsia="Noto Sans" w:hAnsi="Noto Sans" w:cs="Noto Sans"/>
          <w:sz w:val="20"/>
          <w:szCs w:val="20"/>
        </w:rPr>
        <w:t> </w:t>
      </w:r>
      <w:r>
        <w:rPr>
          <w:rFonts w:ascii="Noto Sans" w:eastAsia="Noto Sans" w:hAnsi="Noto Sans" w:cs="Noto Sans"/>
          <w:color w:val="000000"/>
          <w:sz w:val="20"/>
          <w:szCs w:val="20"/>
        </w:rPr>
        <w:t>326/1999 Sb. (dále jen „</w:t>
      </w:r>
      <w:proofErr w:type="spellStart"/>
      <w:r>
        <w:rPr>
          <w:rFonts w:ascii="Noto Sans" w:eastAsia="Noto Sans" w:hAnsi="Noto Sans" w:cs="Noto Sans"/>
          <w:b/>
          <w:bCs/>
          <w:color w:val="000000"/>
          <w:sz w:val="20"/>
          <w:szCs w:val="20"/>
        </w:rPr>
        <w:t>ZoPC</w:t>
      </w:r>
      <w:proofErr w:type="spellEnd"/>
      <w:r>
        <w:rPr>
          <w:rFonts w:ascii="Noto Sans" w:eastAsia="Noto Sans" w:hAnsi="Noto Sans" w:cs="Noto Sans"/>
          <w:color w:val="000000"/>
          <w:sz w:val="20"/>
          <w:szCs w:val="20"/>
        </w:rPr>
        <w:t>“) centrum na podporu integrace cizinců. ICP dále v souladu s</w:t>
      </w:r>
      <w:r>
        <w:rPr>
          <w:rFonts w:ascii="Noto Sans" w:eastAsia="Noto Sans" w:hAnsi="Noto Sans" w:cs="Noto Sans"/>
          <w:sz w:val="20"/>
          <w:szCs w:val="20"/>
        </w:rPr>
        <w:t> </w:t>
      </w:r>
      <w:r>
        <w:rPr>
          <w:rFonts w:ascii="Noto Sans" w:eastAsia="Noto Sans" w:hAnsi="Noto Sans" w:cs="Noto Sans"/>
          <w:color w:val="000000"/>
          <w:sz w:val="20"/>
          <w:szCs w:val="20"/>
        </w:rPr>
        <w:t xml:space="preserve">§ </w:t>
      </w:r>
      <w:proofErr w:type="gramStart"/>
      <w:r>
        <w:rPr>
          <w:rFonts w:ascii="Noto Sans" w:eastAsia="Noto Sans" w:hAnsi="Noto Sans" w:cs="Noto Sans"/>
          <w:color w:val="000000"/>
          <w:sz w:val="20"/>
          <w:szCs w:val="20"/>
        </w:rPr>
        <w:t>155b</w:t>
      </w:r>
      <w:proofErr w:type="gramEnd"/>
      <w:r>
        <w:rPr>
          <w:rFonts w:ascii="Noto Sans" w:eastAsia="Noto Sans" w:hAnsi="Noto Sans" w:cs="Noto Sans"/>
          <w:color w:val="000000"/>
          <w:sz w:val="20"/>
          <w:szCs w:val="20"/>
        </w:rPr>
        <w:t xml:space="preserve"> </w:t>
      </w:r>
      <w:proofErr w:type="spellStart"/>
      <w:r>
        <w:rPr>
          <w:rFonts w:ascii="Noto Sans" w:eastAsia="Noto Sans" w:hAnsi="Noto Sans" w:cs="Noto Sans"/>
          <w:color w:val="000000"/>
          <w:sz w:val="20"/>
          <w:szCs w:val="20"/>
        </w:rPr>
        <w:t>ZoPC</w:t>
      </w:r>
      <w:proofErr w:type="spellEnd"/>
      <w:r>
        <w:rPr>
          <w:rFonts w:ascii="Noto Sans" w:eastAsia="Noto Sans" w:hAnsi="Noto Sans" w:cs="Noto Sans"/>
          <w:color w:val="000000"/>
          <w:sz w:val="20"/>
          <w:szCs w:val="20"/>
        </w:rPr>
        <w:t xml:space="preserve"> zabezpečuje v roce 202</w:t>
      </w:r>
      <w:r>
        <w:rPr>
          <w:rFonts w:ascii="Noto Sans" w:eastAsia="Noto Sans" w:hAnsi="Noto Sans" w:cs="Noto Sans"/>
          <w:sz w:val="20"/>
          <w:szCs w:val="20"/>
        </w:rPr>
        <w:t>6</w:t>
      </w:r>
      <w:r>
        <w:rPr>
          <w:rFonts w:ascii="Noto Sans" w:eastAsia="Noto Sans" w:hAnsi="Noto Sans" w:cs="Noto Sans"/>
          <w:color w:val="000000"/>
          <w:sz w:val="20"/>
          <w:szCs w:val="20"/>
        </w:rPr>
        <w:t xml:space="preserve"> realizaci </w:t>
      </w:r>
      <w:r>
        <w:rPr>
          <w:rFonts w:ascii="Noto Sans" w:eastAsia="Noto Sans" w:hAnsi="Noto Sans" w:cs="Noto Sans"/>
          <w:sz w:val="20"/>
          <w:szCs w:val="20"/>
        </w:rPr>
        <w:t>a</w:t>
      </w:r>
      <w:r>
        <w:rPr>
          <w:rFonts w:ascii="Noto Sans" w:eastAsia="Noto Sans" w:hAnsi="Noto Sans" w:cs="Noto Sans"/>
          <w:color w:val="000000"/>
          <w:sz w:val="20"/>
          <w:szCs w:val="20"/>
        </w:rPr>
        <w:t>daptačně-integračních kurzů „Vítejte</w:t>
      </w:r>
      <w:r>
        <w:rPr>
          <w:rFonts w:ascii="Noto Sans" w:eastAsia="Noto Sans" w:hAnsi="Noto Sans" w:cs="Noto Sans"/>
          <w:sz w:val="20"/>
          <w:szCs w:val="20"/>
        </w:rPr>
        <w:t xml:space="preserve"> </w:t>
      </w:r>
      <w:r>
        <w:rPr>
          <w:rFonts w:ascii="Noto Sans" w:eastAsia="Noto Sans" w:hAnsi="Noto Sans" w:cs="Noto Sans"/>
          <w:color w:val="000000"/>
          <w:sz w:val="20"/>
          <w:szCs w:val="20"/>
        </w:rPr>
        <w:t>v České republice“ (dále jen „</w:t>
      </w:r>
      <w:r>
        <w:rPr>
          <w:rFonts w:ascii="Noto Sans" w:eastAsia="Noto Sans" w:hAnsi="Noto Sans" w:cs="Noto Sans"/>
          <w:b/>
          <w:bCs/>
          <w:color w:val="000000"/>
          <w:sz w:val="20"/>
          <w:szCs w:val="20"/>
        </w:rPr>
        <w:t>AIK</w:t>
      </w:r>
      <w:r>
        <w:rPr>
          <w:rFonts w:ascii="Noto Sans" w:eastAsia="Noto Sans" w:hAnsi="Noto Sans" w:cs="Noto Sans"/>
          <w:color w:val="000000"/>
          <w:sz w:val="20"/>
          <w:szCs w:val="20"/>
        </w:rPr>
        <w:t>“), a to na základě projektu AIK ICP 2</w:t>
      </w:r>
      <w:r>
        <w:rPr>
          <w:rFonts w:ascii="Noto Sans" w:eastAsia="Noto Sans" w:hAnsi="Noto Sans" w:cs="Noto Sans"/>
          <w:sz w:val="20"/>
          <w:szCs w:val="20"/>
        </w:rPr>
        <w:t>6</w:t>
      </w:r>
      <w:r>
        <w:rPr>
          <w:rFonts w:ascii="Noto Sans" w:eastAsia="Noto Sans" w:hAnsi="Noto Sans" w:cs="Noto Sans"/>
          <w:color w:val="000000"/>
          <w:sz w:val="20"/>
          <w:szCs w:val="20"/>
        </w:rPr>
        <w:t>, který je financován v rámci dotačníh</w:t>
      </w:r>
      <w:r>
        <w:rPr>
          <w:rFonts w:ascii="Noto Sans" w:eastAsia="Noto Sans" w:hAnsi="Noto Sans" w:cs="Noto Sans"/>
          <w:color w:val="000000"/>
          <w:sz w:val="20"/>
          <w:szCs w:val="20"/>
        </w:rPr>
        <w:t>o programu Adaptačně-integrační kurzy 202</w:t>
      </w:r>
      <w:r>
        <w:rPr>
          <w:rFonts w:ascii="Noto Sans" w:eastAsia="Noto Sans" w:hAnsi="Noto Sans" w:cs="Noto Sans"/>
          <w:sz w:val="20"/>
          <w:szCs w:val="20"/>
        </w:rPr>
        <w:t>6</w:t>
      </w:r>
      <w:r>
        <w:rPr>
          <w:rFonts w:ascii="Noto Sans" w:eastAsia="Noto Sans" w:hAnsi="Noto Sans" w:cs="Noto Sans"/>
          <w:color w:val="000000"/>
          <w:sz w:val="20"/>
          <w:szCs w:val="20"/>
        </w:rPr>
        <w:t xml:space="preserve"> ze strany Ministerstva vnitra ČR (dále jen “</w:t>
      </w:r>
      <w:r>
        <w:rPr>
          <w:rFonts w:ascii="Noto Sans" w:eastAsia="Noto Sans" w:hAnsi="Noto Sans" w:cs="Noto Sans"/>
          <w:b/>
          <w:bCs/>
          <w:color w:val="000000"/>
          <w:sz w:val="20"/>
          <w:szCs w:val="20"/>
        </w:rPr>
        <w:t>Projekt</w:t>
      </w:r>
      <w:r>
        <w:rPr>
          <w:rFonts w:ascii="Noto Sans" w:eastAsia="Noto Sans" w:hAnsi="Noto Sans" w:cs="Noto Sans"/>
          <w:color w:val="000000"/>
          <w:sz w:val="20"/>
          <w:szCs w:val="20"/>
        </w:rPr>
        <w:t>“).</w:t>
      </w:r>
    </w:p>
    <w:p w:rsidR="00AB7E50" w:rsidRDefault="00AB7E50">
      <w:pPr>
        <w:pBdr>
          <w:top w:val="nil"/>
          <w:left w:val="nil"/>
          <w:bottom w:val="nil"/>
          <w:right w:val="nil"/>
          <w:between w:val="nil"/>
        </w:pBdr>
        <w:spacing w:after="0" w:line="240" w:lineRule="auto"/>
        <w:rPr>
          <w:rFonts w:ascii="Noto Sans" w:eastAsia="Noto Sans" w:hAnsi="Noto Sans" w:cs="Noto Sans"/>
          <w:color w:val="000000"/>
          <w:sz w:val="20"/>
          <w:szCs w:val="20"/>
        </w:rPr>
      </w:pPr>
    </w:p>
    <w:p w:rsidR="00AB7E50" w:rsidRDefault="00DA450E">
      <w:pPr>
        <w:numPr>
          <w:ilvl w:val="0"/>
          <w:numId w:val="2"/>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ICP zamýšlí v období od </w:t>
      </w:r>
      <w:r>
        <w:rPr>
          <w:rFonts w:ascii="Noto Sans" w:eastAsia="Noto Sans" w:hAnsi="Noto Sans" w:cs="Noto Sans"/>
          <w:sz w:val="20"/>
          <w:szCs w:val="20"/>
        </w:rPr>
        <w:t>data podpisu smlouvy</w:t>
      </w:r>
      <w:r>
        <w:rPr>
          <w:rFonts w:ascii="Noto Sans" w:eastAsia="Noto Sans" w:hAnsi="Noto Sans" w:cs="Noto Sans"/>
          <w:color w:val="000000"/>
          <w:sz w:val="20"/>
          <w:szCs w:val="20"/>
        </w:rPr>
        <w:t xml:space="preserve"> do 31. 12. 202</w:t>
      </w:r>
      <w:r>
        <w:rPr>
          <w:rFonts w:ascii="Noto Sans" w:eastAsia="Noto Sans" w:hAnsi="Noto Sans" w:cs="Noto Sans"/>
          <w:sz w:val="20"/>
          <w:szCs w:val="20"/>
        </w:rPr>
        <w:t>6</w:t>
      </w:r>
      <w:r>
        <w:rPr>
          <w:rFonts w:ascii="Noto Sans" w:eastAsia="Noto Sans" w:hAnsi="Noto Sans" w:cs="Noto Sans"/>
          <w:color w:val="000000"/>
          <w:sz w:val="20"/>
          <w:szCs w:val="20"/>
        </w:rPr>
        <w:t xml:space="preserve"> (dále jen „</w:t>
      </w:r>
      <w:r>
        <w:rPr>
          <w:rFonts w:ascii="Noto Sans" w:eastAsia="Noto Sans" w:hAnsi="Noto Sans" w:cs="Noto Sans"/>
          <w:b/>
          <w:bCs/>
          <w:color w:val="000000"/>
          <w:sz w:val="20"/>
          <w:szCs w:val="20"/>
        </w:rPr>
        <w:t>Doba plnění</w:t>
      </w:r>
      <w:r>
        <w:rPr>
          <w:rFonts w:ascii="Noto Sans" w:eastAsia="Noto Sans" w:hAnsi="Noto Sans" w:cs="Noto Sans"/>
          <w:color w:val="000000"/>
          <w:sz w:val="20"/>
          <w:szCs w:val="20"/>
        </w:rPr>
        <w:t>“) v souvislosti s</w:t>
      </w:r>
      <w:r>
        <w:rPr>
          <w:rFonts w:ascii="Noto Sans" w:eastAsia="Noto Sans" w:hAnsi="Noto Sans" w:cs="Noto Sans"/>
          <w:sz w:val="20"/>
          <w:szCs w:val="20"/>
        </w:rPr>
        <w:t> </w:t>
      </w:r>
      <w:r>
        <w:rPr>
          <w:rFonts w:ascii="Noto Sans" w:eastAsia="Noto Sans" w:hAnsi="Noto Sans" w:cs="Noto Sans"/>
          <w:color w:val="000000"/>
          <w:sz w:val="20"/>
          <w:szCs w:val="20"/>
        </w:rPr>
        <w:t xml:space="preserve">realizací Projektu využít služeb Lektora (tak jak jsou </w:t>
      </w:r>
      <w:r>
        <w:rPr>
          <w:rFonts w:ascii="Noto Sans" w:eastAsia="Noto Sans" w:hAnsi="Noto Sans" w:cs="Noto Sans"/>
          <w:color w:val="000000"/>
          <w:sz w:val="20"/>
          <w:szCs w:val="20"/>
        </w:rPr>
        <w:t>definovány v čl. 2</w:t>
      </w:r>
      <w:r>
        <w:rPr>
          <w:rFonts w:ascii="Noto Sans" w:eastAsia="Noto Sans" w:hAnsi="Noto Sans" w:cs="Noto Sans"/>
          <w:sz w:val="20"/>
          <w:szCs w:val="20"/>
        </w:rPr>
        <w:t xml:space="preserve"> </w:t>
      </w:r>
      <w:r>
        <w:rPr>
          <w:rFonts w:ascii="Noto Sans" w:eastAsia="Noto Sans" w:hAnsi="Noto Sans" w:cs="Noto Sans"/>
          <w:color w:val="000000"/>
          <w:sz w:val="20"/>
          <w:szCs w:val="20"/>
        </w:rPr>
        <w:t>odst.</w:t>
      </w:r>
      <w:r>
        <w:rPr>
          <w:rFonts w:ascii="Noto Sans" w:eastAsia="Noto Sans" w:hAnsi="Noto Sans" w:cs="Noto Sans"/>
          <w:sz w:val="20"/>
          <w:szCs w:val="20"/>
        </w:rPr>
        <w:t> </w:t>
      </w:r>
      <w:r>
        <w:rPr>
          <w:rFonts w:ascii="Noto Sans" w:eastAsia="Noto Sans" w:hAnsi="Noto Sans" w:cs="Noto Sans"/>
          <w:color w:val="000000"/>
          <w:sz w:val="20"/>
          <w:szCs w:val="20"/>
        </w:rPr>
        <w:t xml:space="preserve">1 této rámcové smlouvy) jako osoby, která bude lektorovat </w:t>
      </w:r>
      <w:r>
        <w:rPr>
          <w:rFonts w:ascii="Noto Sans" w:eastAsia="Noto Sans" w:hAnsi="Noto Sans" w:cs="Noto Sans"/>
          <w:sz w:val="20"/>
          <w:szCs w:val="20"/>
        </w:rPr>
        <w:t>AIK</w:t>
      </w:r>
      <w:r>
        <w:rPr>
          <w:rFonts w:ascii="Noto Sans" w:eastAsia="Noto Sans" w:hAnsi="Noto Sans" w:cs="Noto Sans"/>
          <w:color w:val="000000"/>
          <w:sz w:val="20"/>
          <w:szCs w:val="20"/>
        </w:rPr>
        <w:t xml:space="preserve"> pořádané ICP, a</w:t>
      </w:r>
      <w:r>
        <w:rPr>
          <w:rFonts w:ascii="Noto Sans" w:eastAsia="Noto Sans" w:hAnsi="Noto Sans" w:cs="Noto Sans"/>
          <w:sz w:val="20"/>
          <w:szCs w:val="20"/>
        </w:rPr>
        <w:t> </w:t>
      </w:r>
      <w:r>
        <w:rPr>
          <w:rFonts w:ascii="Noto Sans" w:eastAsia="Noto Sans" w:hAnsi="Noto Sans" w:cs="Noto Sans"/>
          <w:color w:val="000000"/>
          <w:sz w:val="20"/>
          <w:szCs w:val="20"/>
        </w:rPr>
        <w:t>platit mu za tyto služby odměnu v níže specifikované výši. Tato rámcová smlouva upravuje způsob, kterým budou služby Lektora objednávány, a podmínky poskytování těchto služeb Lektorem.</w:t>
      </w:r>
    </w:p>
    <w:p w:rsidR="00AB7E50" w:rsidRDefault="00AB7E50">
      <w:pPr>
        <w:pBdr>
          <w:top w:val="nil"/>
          <w:left w:val="nil"/>
          <w:bottom w:val="nil"/>
          <w:right w:val="nil"/>
          <w:between w:val="nil"/>
        </w:pBdr>
        <w:spacing w:after="0" w:line="240" w:lineRule="auto"/>
        <w:ind w:left="720" w:right="-426"/>
        <w:jc w:val="both"/>
        <w:rPr>
          <w:rFonts w:ascii="Noto Sans" w:eastAsia="Noto Sans" w:hAnsi="Noto Sans" w:cs="Noto Sans"/>
          <w:sz w:val="20"/>
          <w:szCs w:val="20"/>
        </w:rPr>
      </w:pPr>
    </w:p>
    <w:p w:rsidR="00AB7E50" w:rsidRDefault="00DA450E">
      <w:pPr>
        <w:numPr>
          <w:ilvl w:val="0"/>
          <w:numId w:val="2"/>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lastRenderedPageBreak/>
        <w:t>Lektor prohlašuje a podpisem této rámcové smlouvy stvrzuje, že je odborně způsobilou osobou, která složila zkoušku lektora, v souladu s § 16 a 17 vyhlášky Ministerstva vnitra ČR č. 520/2020 Sb., o provádění Adaptačně-integračních kurzů (dále jen „</w:t>
      </w:r>
      <w:r>
        <w:rPr>
          <w:rFonts w:ascii="Noto Sans" w:eastAsia="Noto Sans" w:hAnsi="Noto Sans" w:cs="Noto Sans"/>
          <w:b/>
          <w:bCs/>
          <w:color w:val="000000"/>
          <w:sz w:val="20"/>
          <w:szCs w:val="20"/>
        </w:rPr>
        <w:t>Vyhláška</w:t>
      </w:r>
      <w:r>
        <w:rPr>
          <w:rFonts w:ascii="Noto Sans" w:eastAsia="Noto Sans" w:hAnsi="Noto Sans" w:cs="Noto Sans"/>
          <w:color w:val="000000"/>
          <w:sz w:val="20"/>
          <w:szCs w:val="20"/>
        </w:rPr>
        <w:t>“</w:t>
      </w:r>
      <w:r>
        <w:rPr>
          <w:rFonts w:ascii="Noto Sans" w:eastAsia="Noto Sans" w:hAnsi="Noto Sans" w:cs="Noto Sans"/>
          <w:color w:val="000000"/>
          <w:sz w:val="20"/>
          <w:szCs w:val="20"/>
        </w:rPr>
        <w:t>).</w:t>
      </w:r>
    </w:p>
    <w:p w:rsidR="00AB7E50" w:rsidRDefault="00AB7E50">
      <w:pPr>
        <w:pBdr>
          <w:top w:val="nil"/>
          <w:left w:val="nil"/>
          <w:bottom w:val="nil"/>
          <w:right w:val="nil"/>
          <w:between w:val="nil"/>
        </w:pBdr>
        <w:spacing w:after="0" w:line="240" w:lineRule="auto"/>
        <w:jc w:val="both"/>
        <w:rPr>
          <w:rFonts w:ascii="Noto Sans" w:eastAsia="Noto Sans" w:hAnsi="Noto Sans" w:cs="Noto Sans"/>
          <w:color w:val="000000"/>
          <w:sz w:val="20"/>
          <w:szCs w:val="20"/>
        </w:rPr>
      </w:pPr>
    </w:p>
    <w:p w:rsidR="00AB7E50" w:rsidRDefault="00DA450E">
      <w:pPr>
        <w:numPr>
          <w:ilvl w:val="0"/>
          <w:numId w:val="2"/>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V tomto materiálu se užívají některé pojmy jen v mužském rodě, cílem je zjednodušení textu a není tím míněno, že by se pojmy případně netýkaly i osob všech ostatních pohlaví.</w:t>
      </w:r>
    </w:p>
    <w:p w:rsidR="00AB7E50" w:rsidRDefault="00AB7E50">
      <w:pPr>
        <w:spacing w:after="0" w:line="276" w:lineRule="auto"/>
        <w:ind w:right="-426"/>
        <w:jc w:val="both"/>
        <w:rPr>
          <w:rFonts w:ascii="Noto Sans" w:eastAsia="Noto Sans" w:hAnsi="Noto Sans" w:cs="Noto Sans"/>
          <w:sz w:val="20"/>
          <w:szCs w:val="20"/>
        </w:rPr>
      </w:pPr>
    </w:p>
    <w:p w:rsidR="00AB7E50" w:rsidRDefault="00AB7E50">
      <w:pPr>
        <w:spacing w:after="0" w:line="276" w:lineRule="auto"/>
        <w:ind w:right="-426"/>
        <w:jc w:val="both"/>
        <w:rPr>
          <w:rFonts w:ascii="Noto Sans" w:eastAsia="Noto Sans" w:hAnsi="Noto Sans" w:cs="Noto Sans"/>
          <w:sz w:val="20"/>
          <w:szCs w:val="20"/>
        </w:rPr>
      </w:pPr>
    </w:p>
    <w:p w:rsidR="00AB7E50" w:rsidRDefault="00DA450E">
      <w:pPr>
        <w:spacing w:after="0" w:line="276" w:lineRule="auto"/>
        <w:ind w:right="-426"/>
        <w:jc w:val="center"/>
        <w:rPr>
          <w:rFonts w:ascii="Noto Sans" w:eastAsia="Noto Sans" w:hAnsi="Noto Sans" w:cs="Noto Sans"/>
          <w:b/>
          <w:bCs/>
          <w:sz w:val="20"/>
          <w:szCs w:val="20"/>
        </w:rPr>
      </w:pPr>
      <w:r>
        <w:rPr>
          <w:rFonts w:ascii="Noto Sans" w:eastAsia="Noto Sans" w:hAnsi="Noto Sans" w:cs="Noto Sans"/>
          <w:b/>
          <w:bCs/>
          <w:sz w:val="20"/>
          <w:szCs w:val="20"/>
        </w:rPr>
        <w:t>Článek 2</w:t>
      </w:r>
    </w:p>
    <w:p w:rsidR="00AB7E50" w:rsidRDefault="00DA450E">
      <w:pPr>
        <w:spacing w:after="0" w:line="276" w:lineRule="auto"/>
        <w:ind w:right="-426"/>
        <w:jc w:val="center"/>
        <w:rPr>
          <w:rFonts w:ascii="Noto Sans" w:eastAsia="Noto Sans" w:hAnsi="Noto Sans" w:cs="Noto Sans"/>
          <w:b/>
          <w:bCs/>
          <w:sz w:val="20"/>
          <w:szCs w:val="20"/>
        </w:rPr>
      </w:pPr>
      <w:r>
        <w:rPr>
          <w:rFonts w:ascii="Noto Sans" w:eastAsia="Noto Sans" w:hAnsi="Noto Sans" w:cs="Noto Sans"/>
          <w:b/>
          <w:bCs/>
          <w:sz w:val="20"/>
          <w:szCs w:val="20"/>
        </w:rPr>
        <w:t>Předmět Smlouvy</w:t>
      </w:r>
    </w:p>
    <w:p w:rsidR="00AB7E50" w:rsidRDefault="00AB7E50">
      <w:pPr>
        <w:pBdr>
          <w:top w:val="nil"/>
          <w:left w:val="nil"/>
          <w:bottom w:val="nil"/>
          <w:right w:val="nil"/>
          <w:between w:val="nil"/>
        </w:pBdr>
        <w:spacing w:after="0" w:line="240" w:lineRule="auto"/>
        <w:rPr>
          <w:rFonts w:ascii="Noto Sans" w:eastAsia="Noto Sans" w:hAnsi="Noto Sans" w:cs="Noto Sans"/>
          <w:color w:val="000000"/>
          <w:sz w:val="20"/>
          <w:szCs w:val="20"/>
        </w:rPr>
      </w:pPr>
    </w:p>
    <w:p w:rsidR="00AB7E50" w:rsidRDefault="00DA450E">
      <w:pPr>
        <w:numPr>
          <w:ilvl w:val="0"/>
          <w:numId w:val="6"/>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Službami Lektora Adaptačně-integračních kurzů se rozumí lektorování A</w:t>
      </w:r>
      <w:r>
        <w:rPr>
          <w:rFonts w:ascii="Noto Sans" w:eastAsia="Noto Sans" w:hAnsi="Noto Sans" w:cs="Noto Sans"/>
          <w:sz w:val="20"/>
          <w:szCs w:val="20"/>
        </w:rPr>
        <w:t>IK</w:t>
      </w:r>
      <w:r>
        <w:rPr>
          <w:rFonts w:ascii="Noto Sans" w:eastAsia="Noto Sans" w:hAnsi="Noto Sans" w:cs="Noto Sans"/>
          <w:color w:val="000000"/>
          <w:sz w:val="20"/>
          <w:szCs w:val="20"/>
        </w:rPr>
        <w:t>, jejichž obsahová náplň je definována v § 12 Vyhlášky a rozsah v § 13 Vyhlášky (dále jen „</w:t>
      </w:r>
      <w:r>
        <w:rPr>
          <w:rFonts w:ascii="Noto Sans" w:eastAsia="Noto Sans" w:hAnsi="Noto Sans" w:cs="Noto Sans"/>
          <w:b/>
          <w:bCs/>
          <w:color w:val="000000"/>
          <w:sz w:val="20"/>
          <w:szCs w:val="20"/>
        </w:rPr>
        <w:t>Služby</w:t>
      </w:r>
      <w:r>
        <w:rPr>
          <w:rFonts w:ascii="Noto Sans" w:eastAsia="Noto Sans" w:hAnsi="Noto Sans" w:cs="Noto Sans"/>
          <w:color w:val="000000"/>
          <w:sz w:val="20"/>
          <w:szCs w:val="20"/>
        </w:rPr>
        <w:t>“).</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6"/>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Pokud se Strany nedohodnou písemně jinak, bude plnění Služeb na základě této rámcov</w:t>
      </w:r>
      <w:r>
        <w:rPr>
          <w:rFonts w:ascii="Noto Sans" w:eastAsia="Noto Sans" w:hAnsi="Noto Sans" w:cs="Noto Sans"/>
          <w:color w:val="000000"/>
          <w:sz w:val="20"/>
          <w:szCs w:val="20"/>
        </w:rPr>
        <w:t>é smlouvy probíhat na základě dílčích objednávek ICP, způsobem, který stanoví metodický pokyn „Objednávání a fakturace služeb lektorů a tlumočníků“ (Příloha č. 1).</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6"/>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Lektor se zavazuje poskytovat Služby v souladu s právními předpisy, “Etickým kodexem pro lektory a tlumočníky Adaptačně-integračních kurzů” (Příloha č. 2, dále jen “Etický kodex”) a dalšími pokyny ICP, pokyny pracovníků Odboru azylové a migrační politiky M</w:t>
      </w:r>
      <w:r>
        <w:rPr>
          <w:rFonts w:ascii="Noto Sans" w:eastAsia="Noto Sans" w:hAnsi="Noto Sans" w:cs="Noto Sans"/>
          <w:color w:val="000000"/>
          <w:sz w:val="20"/>
          <w:szCs w:val="20"/>
        </w:rPr>
        <w:t>inisterstva vnitra ČR (dále jen „</w:t>
      </w:r>
      <w:r>
        <w:rPr>
          <w:rFonts w:ascii="Noto Sans" w:eastAsia="Noto Sans" w:hAnsi="Noto Sans" w:cs="Noto Sans"/>
          <w:b/>
          <w:bCs/>
          <w:color w:val="000000"/>
          <w:sz w:val="20"/>
          <w:szCs w:val="20"/>
        </w:rPr>
        <w:t>OAMP MV ČR</w:t>
      </w:r>
      <w:r>
        <w:rPr>
          <w:rFonts w:ascii="Noto Sans" w:eastAsia="Noto Sans" w:hAnsi="Noto Sans" w:cs="Noto Sans"/>
          <w:color w:val="000000"/>
          <w:sz w:val="20"/>
          <w:szCs w:val="20"/>
        </w:rPr>
        <w:t>“), a případně dalšími pokyny.</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6"/>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bookmarkStart w:id="0" w:name="_heading=h.gjdgxs" w:colFirst="0" w:colLast="0"/>
      <w:bookmarkEnd w:id="0"/>
      <w:r>
        <w:rPr>
          <w:rFonts w:ascii="Noto Sans" w:eastAsia="Noto Sans" w:hAnsi="Noto Sans" w:cs="Noto Sans"/>
          <w:color w:val="000000"/>
          <w:sz w:val="20"/>
          <w:szCs w:val="20"/>
        </w:rPr>
        <w:t xml:space="preserve">Etický kodex a další závazné pokyny ICP, jimiž je Lektor povinen se řídit, tvoří nedílnou součást této rámcové smlouvy a budou po celou dobu trvání této rámcové smlouvy dostupné na </w:t>
      </w:r>
      <w:r>
        <w:rPr>
          <w:rFonts w:ascii="Noto Sans" w:eastAsia="Noto Sans" w:hAnsi="Noto Sans" w:cs="Noto Sans"/>
          <w:color w:val="000000"/>
          <w:sz w:val="20"/>
          <w:szCs w:val="20"/>
        </w:rPr>
        <w:t xml:space="preserve">webové adrese </w:t>
      </w:r>
      <w:r>
        <w:rPr>
          <w:rFonts w:ascii="Noto Sans" w:eastAsia="Noto Sans" w:hAnsi="Noto Sans" w:cs="Noto Sans"/>
          <w:b/>
          <w:bCs/>
          <w:color w:val="000000"/>
          <w:sz w:val="20"/>
          <w:szCs w:val="20"/>
        </w:rPr>
        <w:t>https://icpraha.com/ke-stazeni</w:t>
      </w:r>
      <w:r>
        <w:rPr>
          <w:rFonts w:ascii="Noto Sans" w:eastAsia="Noto Sans" w:hAnsi="Noto Sans" w:cs="Noto Sans"/>
          <w:color w:val="000000"/>
          <w:sz w:val="20"/>
          <w:szCs w:val="20"/>
        </w:rPr>
        <w:t>. Lektor podpisem této rámcové smlouvy stvrzuje, že s nimi byl před uzavřením smlouvy řádně seznámen.</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6"/>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Pověření pracovníci ICP, kterými jsou osoby zaměstnané v ICP, pracovníci Ministerstva vnitra ČR či jimi pověř</w:t>
      </w:r>
      <w:r>
        <w:rPr>
          <w:rFonts w:ascii="Noto Sans" w:eastAsia="Noto Sans" w:hAnsi="Noto Sans" w:cs="Noto Sans"/>
          <w:color w:val="000000"/>
          <w:sz w:val="20"/>
          <w:szCs w:val="20"/>
        </w:rPr>
        <w:t>ené osoby jsou oprávněny účastnit se AIK lektorovaných Lektorem za účelem kontroly jejich průběhu a kvality poskytovaných Služeb.</w:t>
      </w:r>
    </w:p>
    <w:p w:rsidR="00AB7E50" w:rsidRDefault="00AB7E50">
      <w:pPr>
        <w:spacing w:after="0" w:line="276" w:lineRule="auto"/>
        <w:ind w:left="284" w:right="-426" w:hanging="284"/>
        <w:jc w:val="both"/>
        <w:rPr>
          <w:rFonts w:ascii="Noto Sans" w:eastAsia="Noto Sans" w:hAnsi="Noto Sans" w:cs="Noto Sans"/>
          <w:sz w:val="20"/>
          <w:szCs w:val="20"/>
        </w:rPr>
      </w:pPr>
    </w:p>
    <w:p w:rsidR="00AB7E50" w:rsidRDefault="00AB7E50">
      <w:pPr>
        <w:spacing w:after="0" w:line="276" w:lineRule="auto"/>
        <w:ind w:left="284" w:right="-426" w:hanging="284"/>
        <w:jc w:val="both"/>
        <w:rPr>
          <w:rFonts w:ascii="Noto Sans" w:eastAsia="Noto Sans" w:hAnsi="Noto Sans" w:cs="Noto Sans"/>
          <w:sz w:val="20"/>
          <w:szCs w:val="20"/>
        </w:rPr>
      </w:pPr>
    </w:p>
    <w:p w:rsidR="00AB7E50" w:rsidRDefault="00DA450E">
      <w:pPr>
        <w:spacing w:after="0" w:line="276" w:lineRule="auto"/>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Článek 3</w:t>
      </w:r>
    </w:p>
    <w:p w:rsidR="00AB7E50" w:rsidRDefault="00DA450E">
      <w:pPr>
        <w:spacing w:after="0" w:line="276" w:lineRule="auto"/>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Odměna Lektora</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9"/>
        </w:num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bookmarkStart w:id="1" w:name="_heading=h.frxw8rgafjdc" w:colFirst="0" w:colLast="0"/>
      <w:bookmarkEnd w:id="1"/>
      <w:r>
        <w:rPr>
          <w:rFonts w:ascii="Noto Sans" w:eastAsia="Noto Sans" w:hAnsi="Noto Sans" w:cs="Noto Sans"/>
          <w:color w:val="000000"/>
          <w:sz w:val="20"/>
          <w:szCs w:val="20"/>
        </w:rPr>
        <w:t xml:space="preserve">Za lektorování AIK se sjednává hodinová odměna ve výši </w:t>
      </w:r>
      <w:r>
        <w:rPr>
          <w:rFonts w:ascii="Noto Sans" w:eastAsia="Noto Sans" w:hAnsi="Noto Sans" w:cs="Noto Sans"/>
          <w:sz w:val="20"/>
          <w:szCs w:val="20"/>
        </w:rPr>
        <w:t>1 0</w:t>
      </w:r>
      <w:r>
        <w:rPr>
          <w:rFonts w:ascii="Noto Sans" w:eastAsia="Noto Sans" w:hAnsi="Noto Sans" w:cs="Noto Sans"/>
          <w:color w:val="000000"/>
          <w:sz w:val="20"/>
          <w:szCs w:val="20"/>
        </w:rPr>
        <w:t>00 Kč (slovy:</w:t>
      </w:r>
      <w:r>
        <w:rPr>
          <w:rFonts w:ascii="Noto Sans" w:eastAsia="Noto Sans" w:hAnsi="Noto Sans" w:cs="Noto Sans"/>
          <w:sz w:val="20"/>
          <w:szCs w:val="20"/>
        </w:rPr>
        <w:t xml:space="preserve"> jeden tisíc korun českých</w:t>
      </w:r>
      <w:r>
        <w:rPr>
          <w:rFonts w:ascii="Noto Sans" w:eastAsia="Noto Sans" w:hAnsi="Noto Sans" w:cs="Noto Sans"/>
          <w:color w:val="000000"/>
          <w:sz w:val="20"/>
          <w:szCs w:val="20"/>
        </w:rPr>
        <w:t xml:space="preserve">). Vzhledem k časovému rozsahu stanovenému v § 13 Vyhlášky nepřekročí celková odměna Lektora za lektorování jednoho AIK </w:t>
      </w:r>
      <w:r>
        <w:rPr>
          <w:rFonts w:ascii="Noto Sans" w:eastAsia="Noto Sans" w:hAnsi="Noto Sans" w:cs="Noto Sans"/>
          <w:sz w:val="20"/>
          <w:szCs w:val="20"/>
        </w:rPr>
        <w:t>4</w:t>
      </w:r>
      <w:r>
        <w:rPr>
          <w:rFonts w:ascii="Noto Sans" w:eastAsia="Noto Sans" w:hAnsi="Noto Sans" w:cs="Noto Sans"/>
          <w:color w:val="000000"/>
          <w:sz w:val="20"/>
          <w:szCs w:val="20"/>
        </w:rPr>
        <w:t xml:space="preserve"> </w:t>
      </w:r>
      <w:r>
        <w:rPr>
          <w:rFonts w:ascii="Noto Sans" w:eastAsia="Noto Sans" w:hAnsi="Noto Sans" w:cs="Noto Sans"/>
          <w:sz w:val="20"/>
          <w:szCs w:val="20"/>
        </w:rPr>
        <w:t>0</w:t>
      </w:r>
      <w:r>
        <w:rPr>
          <w:rFonts w:ascii="Noto Sans" w:eastAsia="Noto Sans" w:hAnsi="Noto Sans" w:cs="Noto Sans"/>
          <w:color w:val="000000"/>
          <w:sz w:val="20"/>
          <w:szCs w:val="20"/>
        </w:rPr>
        <w:t xml:space="preserve">00 Kč (slovy: </w:t>
      </w:r>
      <w:r>
        <w:rPr>
          <w:rFonts w:ascii="Noto Sans" w:eastAsia="Noto Sans" w:hAnsi="Noto Sans" w:cs="Noto Sans"/>
          <w:sz w:val="20"/>
          <w:szCs w:val="20"/>
        </w:rPr>
        <w:t>čtyři</w:t>
      </w:r>
      <w:r>
        <w:rPr>
          <w:rFonts w:ascii="Noto Sans" w:eastAsia="Noto Sans" w:hAnsi="Noto Sans" w:cs="Noto Sans"/>
          <w:color w:val="000000"/>
          <w:sz w:val="20"/>
          <w:szCs w:val="20"/>
        </w:rPr>
        <w:t xml:space="preserve"> tisíce korun českých).</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9"/>
        </w:num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r>
        <w:rPr>
          <w:rFonts w:ascii="Noto Sans" w:eastAsia="Noto Sans" w:hAnsi="Noto Sans" w:cs="Noto Sans"/>
          <w:color w:val="000000"/>
          <w:sz w:val="20"/>
          <w:szCs w:val="20"/>
        </w:rPr>
        <w:t>Odměna bude Lektorovi vyplacena na základě jím předložené faktury, která bude obsahovat náležitosti uvedené níže v čl. 8 odst. 2 a 3 této rámcové smlouvy.</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9"/>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Faktura bude Lektorem vystavena vždy nejpozději do 15. kalendářního dne měsíce následujícího po měsí</w:t>
      </w:r>
      <w:r>
        <w:rPr>
          <w:rFonts w:ascii="Noto Sans" w:eastAsia="Noto Sans" w:hAnsi="Noto Sans" w:cs="Noto Sans"/>
          <w:color w:val="000000"/>
          <w:sz w:val="20"/>
          <w:szCs w:val="20"/>
        </w:rPr>
        <w:t>ci, v němž byl Lektorem lektorován AIK, za nějž odměna přísluší. Pokud bylo v příslušném kalendářním měsíci Lektorem lektorováno více AIK, vystaví Lektor pouze jednu fakturu za všechny realizované kurzy.</w:t>
      </w:r>
    </w:p>
    <w:p w:rsidR="00AB7E50" w:rsidRDefault="00AB7E50">
      <w:pPr>
        <w:spacing w:after="0" w:line="276" w:lineRule="auto"/>
        <w:ind w:left="284" w:right="-426" w:hanging="284"/>
        <w:jc w:val="center"/>
        <w:rPr>
          <w:rFonts w:ascii="Noto Sans" w:eastAsia="Noto Sans" w:hAnsi="Noto Sans" w:cs="Noto Sans"/>
          <w:b/>
          <w:bCs/>
          <w:sz w:val="20"/>
          <w:szCs w:val="20"/>
        </w:rPr>
      </w:pPr>
    </w:p>
    <w:p w:rsidR="00AB7E50" w:rsidRDefault="00DA450E">
      <w:pPr>
        <w:spacing w:after="0" w:line="276" w:lineRule="auto"/>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lastRenderedPageBreak/>
        <w:t>Článek 4</w:t>
      </w:r>
    </w:p>
    <w:p w:rsidR="00AB7E50" w:rsidRDefault="00DA450E">
      <w:pPr>
        <w:spacing w:after="0" w:line="276" w:lineRule="auto"/>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Zrušení naplánovaného Adaptačně-integrační</w:t>
      </w:r>
      <w:r>
        <w:rPr>
          <w:rFonts w:ascii="Noto Sans" w:eastAsia="Noto Sans" w:hAnsi="Noto Sans" w:cs="Noto Sans"/>
          <w:b/>
          <w:bCs/>
          <w:sz w:val="20"/>
          <w:szCs w:val="20"/>
        </w:rPr>
        <w:t>ho kurzu ze strany ICP</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11"/>
        </w:num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r>
        <w:rPr>
          <w:rFonts w:ascii="Noto Sans" w:eastAsia="Noto Sans" w:hAnsi="Noto Sans" w:cs="Noto Sans"/>
          <w:color w:val="000000"/>
          <w:sz w:val="20"/>
          <w:szCs w:val="20"/>
        </w:rPr>
        <w:t>ICP má povinnost bez zbytečného odkladu informovat Lektora o skutečnosti, že AIK, který měl Lektor lektorovat, musel být zrušen z důvodu dříve nepředvídaných událostí.</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11"/>
        </w:num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r>
        <w:rPr>
          <w:rFonts w:ascii="Noto Sans" w:eastAsia="Noto Sans" w:hAnsi="Noto Sans" w:cs="Noto Sans"/>
          <w:color w:val="000000"/>
          <w:sz w:val="20"/>
          <w:szCs w:val="20"/>
        </w:rPr>
        <w:t>Podle pokynu MV ČR se dále sjednává:</w:t>
      </w:r>
    </w:p>
    <w:p w:rsidR="00AB7E50" w:rsidRDefault="00AB7E50">
      <w:pPr>
        <w:pBdr>
          <w:top w:val="nil"/>
          <w:left w:val="nil"/>
          <w:bottom w:val="nil"/>
          <w:right w:val="nil"/>
          <w:between w:val="nil"/>
        </w:pBdr>
        <w:spacing w:after="0" w:line="240" w:lineRule="auto"/>
        <w:ind w:left="993" w:right="-426"/>
        <w:jc w:val="both"/>
        <w:rPr>
          <w:rFonts w:ascii="Noto Sans" w:eastAsia="Noto Sans" w:hAnsi="Noto Sans" w:cs="Noto Sans"/>
          <w:color w:val="000000"/>
          <w:sz w:val="20"/>
          <w:szCs w:val="20"/>
        </w:rPr>
      </w:pPr>
    </w:p>
    <w:p w:rsidR="00AB7E50" w:rsidRDefault="00DA450E">
      <w:pPr>
        <w:numPr>
          <w:ilvl w:val="0"/>
          <w:numId w:val="7"/>
        </w:numPr>
        <w:pBdr>
          <w:top w:val="nil"/>
          <w:left w:val="nil"/>
          <w:bottom w:val="nil"/>
          <w:right w:val="nil"/>
          <w:between w:val="nil"/>
        </w:pBdr>
        <w:spacing w:after="0" w:line="240" w:lineRule="auto"/>
        <w:ind w:left="993" w:right="-426" w:hanging="283"/>
        <w:jc w:val="both"/>
        <w:rPr>
          <w:rFonts w:ascii="Noto Sans" w:eastAsia="Noto Sans" w:hAnsi="Noto Sans" w:cs="Noto Sans"/>
          <w:color w:val="000000"/>
          <w:sz w:val="20"/>
          <w:szCs w:val="20"/>
        </w:rPr>
      </w:pPr>
      <w:r>
        <w:rPr>
          <w:rFonts w:ascii="Noto Sans" w:eastAsia="Noto Sans" w:hAnsi="Noto Sans" w:cs="Noto Sans"/>
          <w:color w:val="000000"/>
          <w:sz w:val="20"/>
          <w:szCs w:val="20"/>
        </w:rPr>
        <w:t>Pokud dojde ke zrušení naplánovaného AIK ze strany ICP nejpozději 6 hodin před jeho konáním, nepřísluší Lektorovi žádná náhrada sjednané odměny.</w:t>
      </w:r>
    </w:p>
    <w:p w:rsidR="00AB7E50" w:rsidRDefault="00AB7E50">
      <w:pPr>
        <w:pBdr>
          <w:top w:val="nil"/>
          <w:left w:val="nil"/>
          <w:bottom w:val="nil"/>
          <w:right w:val="nil"/>
          <w:between w:val="nil"/>
        </w:pBdr>
        <w:spacing w:after="0" w:line="240" w:lineRule="auto"/>
        <w:ind w:left="993" w:right="-426" w:hanging="283"/>
        <w:jc w:val="both"/>
        <w:rPr>
          <w:rFonts w:ascii="Noto Sans" w:eastAsia="Noto Sans" w:hAnsi="Noto Sans" w:cs="Noto Sans"/>
          <w:color w:val="000000"/>
          <w:sz w:val="20"/>
          <w:szCs w:val="20"/>
        </w:rPr>
      </w:pPr>
    </w:p>
    <w:p w:rsidR="00AB7E50" w:rsidRDefault="00DA450E">
      <w:pPr>
        <w:numPr>
          <w:ilvl w:val="0"/>
          <w:numId w:val="7"/>
        </w:numPr>
        <w:pBdr>
          <w:top w:val="nil"/>
          <w:left w:val="nil"/>
          <w:bottom w:val="nil"/>
          <w:right w:val="nil"/>
          <w:between w:val="nil"/>
        </w:pBdr>
        <w:spacing w:after="0" w:line="240" w:lineRule="auto"/>
        <w:ind w:left="993" w:right="-426" w:hanging="283"/>
        <w:jc w:val="both"/>
        <w:rPr>
          <w:rFonts w:ascii="Noto Sans" w:eastAsia="Noto Sans" w:hAnsi="Noto Sans" w:cs="Noto Sans"/>
          <w:color w:val="000000"/>
          <w:sz w:val="20"/>
          <w:szCs w:val="20"/>
        </w:rPr>
      </w:pPr>
      <w:r>
        <w:rPr>
          <w:rFonts w:ascii="Noto Sans" w:eastAsia="Noto Sans" w:hAnsi="Noto Sans" w:cs="Noto Sans"/>
          <w:color w:val="000000"/>
          <w:sz w:val="20"/>
          <w:szCs w:val="20"/>
        </w:rPr>
        <w:t xml:space="preserve">Pokud dojde ke zrušení naplánovaného AIK ze strany ICP méně než 6 hodin před jeho konáním, přísluší Lektorovi </w:t>
      </w:r>
      <w:r>
        <w:rPr>
          <w:rFonts w:ascii="Noto Sans" w:eastAsia="Noto Sans" w:hAnsi="Noto Sans" w:cs="Noto Sans"/>
          <w:color w:val="000000"/>
          <w:sz w:val="20"/>
          <w:szCs w:val="20"/>
        </w:rPr>
        <w:t xml:space="preserve">jednorázová náhrada ve výši </w:t>
      </w:r>
      <w:r>
        <w:rPr>
          <w:rFonts w:ascii="Noto Sans" w:eastAsia="Noto Sans" w:hAnsi="Noto Sans" w:cs="Noto Sans"/>
          <w:sz w:val="20"/>
          <w:szCs w:val="20"/>
        </w:rPr>
        <w:t>2</w:t>
      </w:r>
      <w:r>
        <w:rPr>
          <w:rFonts w:ascii="Noto Sans" w:eastAsia="Noto Sans" w:hAnsi="Noto Sans" w:cs="Noto Sans"/>
          <w:color w:val="000000"/>
          <w:sz w:val="20"/>
          <w:szCs w:val="20"/>
        </w:rPr>
        <w:t xml:space="preserve"> </w:t>
      </w:r>
      <w:r>
        <w:rPr>
          <w:rFonts w:ascii="Noto Sans" w:eastAsia="Noto Sans" w:hAnsi="Noto Sans" w:cs="Noto Sans"/>
          <w:sz w:val="20"/>
          <w:szCs w:val="20"/>
        </w:rPr>
        <w:t>0</w:t>
      </w:r>
      <w:r>
        <w:rPr>
          <w:rFonts w:ascii="Noto Sans" w:eastAsia="Noto Sans" w:hAnsi="Noto Sans" w:cs="Noto Sans"/>
          <w:color w:val="000000"/>
          <w:sz w:val="20"/>
          <w:szCs w:val="20"/>
        </w:rPr>
        <w:t xml:space="preserve">00 Kč (slovy: </w:t>
      </w:r>
      <w:r>
        <w:rPr>
          <w:rFonts w:ascii="Noto Sans" w:eastAsia="Noto Sans" w:hAnsi="Noto Sans" w:cs="Noto Sans"/>
          <w:sz w:val="20"/>
          <w:szCs w:val="20"/>
        </w:rPr>
        <w:t>dva</w:t>
      </w:r>
      <w:r>
        <w:rPr>
          <w:rFonts w:ascii="Noto Sans" w:eastAsia="Noto Sans" w:hAnsi="Noto Sans" w:cs="Noto Sans"/>
          <w:color w:val="000000"/>
          <w:sz w:val="20"/>
          <w:szCs w:val="20"/>
        </w:rPr>
        <w:t xml:space="preserve"> tisíce korun českých).</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spacing w:after="0" w:line="276" w:lineRule="auto"/>
        <w:ind w:right="-426"/>
        <w:jc w:val="center"/>
        <w:rPr>
          <w:rFonts w:ascii="Noto Sans" w:eastAsia="Noto Sans" w:hAnsi="Noto Sans" w:cs="Noto Sans"/>
          <w:b/>
          <w:bCs/>
          <w:sz w:val="20"/>
          <w:szCs w:val="20"/>
        </w:rPr>
      </w:pPr>
      <w:r>
        <w:rPr>
          <w:rFonts w:ascii="Noto Sans" w:eastAsia="Noto Sans" w:hAnsi="Noto Sans" w:cs="Noto Sans"/>
          <w:b/>
          <w:bCs/>
          <w:sz w:val="20"/>
          <w:szCs w:val="20"/>
        </w:rPr>
        <w:t>Článek 5</w:t>
      </w:r>
    </w:p>
    <w:p w:rsidR="00AB7E50" w:rsidRDefault="00DA450E">
      <w:pPr>
        <w:spacing w:after="0" w:line="276" w:lineRule="auto"/>
        <w:ind w:right="-426"/>
        <w:jc w:val="center"/>
        <w:rPr>
          <w:rFonts w:ascii="Noto Sans" w:eastAsia="Noto Sans" w:hAnsi="Noto Sans" w:cs="Noto Sans"/>
          <w:b/>
          <w:bCs/>
          <w:sz w:val="20"/>
          <w:szCs w:val="20"/>
        </w:rPr>
      </w:pPr>
      <w:r>
        <w:rPr>
          <w:rFonts w:ascii="Noto Sans" w:eastAsia="Noto Sans" w:hAnsi="Noto Sans" w:cs="Noto Sans"/>
          <w:b/>
          <w:bCs/>
          <w:sz w:val="20"/>
          <w:szCs w:val="20"/>
        </w:rPr>
        <w:t>Součinnost</w:t>
      </w:r>
    </w:p>
    <w:p w:rsidR="00AB7E50" w:rsidRDefault="00AB7E50">
      <w:pPr>
        <w:pBdr>
          <w:top w:val="nil"/>
          <w:left w:val="nil"/>
          <w:bottom w:val="nil"/>
          <w:right w:val="nil"/>
          <w:between w:val="nil"/>
        </w:pBdr>
        <w:spacing w:after="0" w:line="240" w:lineRule="auto"/>
        <w:rPr>
          <w:rFonts w:ascii="Noto Sans" w:eastAsia="Noto Sans" w:hAnsi="Noto Sans" w:cs="Noto Sans"/>
          <w:color w:val="000000"/>
          <w:sz w:val="20"/>
          <w:szCs w:val="20"/>
        </w:rPr>
      </w:pPr>
    </w:p>
    <w:p w:rsidR="00AB7E50" w:rsidRDefault="00DA450E">
      <w:pPr>
        <w:numPr>
          <w:ilvl w:val="0"/>
          <w:numId w:val="1"/>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ICP i Lektor se zavazují, že si navzájem poskytnou nezbytnou součinnost k dosažení cílů této rámcové smlouvy. Za tímto účelem se budou zejména neprodleně informovat o jakýchkoliv skutečnostech, které by řádnému plnění rámcové smlouvy bránily, či jej dočasn</w:t>
      </w:r>
      <w:r>
        <w:rPr>
          <w:rFonts w:ascii="Noto Sans" w:eastAsia="Noto Sans" w:hAnsi="Noto Sans" w:cs="Noto Sans"/>
          <w:color w:val="000000"/>
          <w:sz w:val="20"/>
          <w:szCs w:val="20"/>
        </w:rPr>
        <w:t>ě či navždy vylučovaly.</w:t>
      </w:r>
    </w:p>
    <w:p w:rsidR="00AB7E50" w:rsidRDefault="00AB7E50">
      <w:pPr>
        <w:spacing w:after="0" w:line="276" w:lineRule="auto"/>
        <w:ind w:left="284" w:right="-426" w:hanging="284"/>
        <w:jc w:val="both"/>
        <w:rPr>
          <w:rFonts w:ascii="Noto Sans" w:eastAsia="Noto Sans" w:hAnsi="Noto Sans" w:cs="Noto Sans"/>
          <w:b/>
          <w:bCs/>
          <w:sz w:val="20"/>
          <w:szCs w:val="20"/>
        </w:rPr>
      </w:pPr>
    </w:p>
    <w:p w:rsidR="00AB7E50" w:rsidRDefault="00AB7E50">
      <w:pPr>
        <w:spacing w:after="0" w:line="276" w:lineRule="auto"/>
        <w:ind w:left="284" w:right="-426" w:hanging="284"/>
        <w:jc w:val="center"/>
        <w:rPr>
          <w:rFonts w:ascii="Noto Sans" w:eastAsia="Noto Sans" w:hAnsi="Noto Sans" w:cs="Noto Sans"/>
          <w:b/>
          <w:bCs/>
          <w:sz w:val="20"/>
          <w:szCs w:val="20"/>
        </w:rPr>
      </w:pPr>
    </w:p>
    <w:p w:rsidR="00AB7E50" w:rsidRDefault="00DA450E">
      <w:pPr>
        <w:spacing w:after="0" w:line="276" w:lineRule="auto"/>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Článek 6</w:t>
      </w: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Sankce</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Sjednává se smluvní pokuta až do výše 10 000 Kč (slovy: deset tisíc korun českých). Smluvní pokuta je splatná do 5 pracovních dnů ode dne jejího písemného uplatnění u Lektora, a to na bankovní účet ICP uvedený v záhlaví této smlouvy. Smluvní pokuta se sjed</w:t>
      </w:r>
      <w:r>
        <w:rPr>
          <w:rFonts w:ascii="Noto Sans" w:eastAsia="Noto Sans" w:hAnsi="Noto Sans" w:cs="Noto Sans"/>
          <w:color w:val="000000"/>
          <w:sz w:val="20"/>
          <w:szCs w:val="20"/>
        </w:rPr>
        <w:t>nává pro tyto případy (dále vše také jako “porušení povinností”):</w:t>
      </w:r>
    </w:p>
    <w:p w:rsidR="00AB7E50" w:rsidRDefault="00AB7E50">
      <w:pPr>
        <w:pBdr>
          <w:top w:val="nil"/>
          <w:left w:val="nil"/>
          <w:bottom w:val="nil"/>
          <w:right w:val="nil"/>
          <w:between w:val="nil"/>
        </w:pBdr>
        <w:spacing w:after="0" w:line="240" w:lineRule="auto"/>
        <w:ind w:left="284" w:right="-426"/>
        <w:jc w:val="both"/>
        <w:rPr>
          <w:rFonts w:ascii="Noto Sans" w:eastAsia="Noto Sans" w:hAnsi="Noto Sans" w:cs="Noto Sans"/>
          <w:sz w:val="20"/>
          <w:szCs w:val="20"/>
        </w:rPr>
      </w:pPr>
    </w:p>
    <w:p w:rsidR="00AB7E50" w:rsidRDefault="00DA450E">
      <w:pPr>
        <w:numPr>
          <w:ilvl w:val="0"/>
          <w:numId w:val="10"/>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nemožnost konání objednaného AIK z důvodu na straně Lektora,</w:t>
      </w:r>
    </w:p>
    <w:p w:rsidR="00AB7E50" w:rsidRDefault="00AB7E50">
      <w:pPr>
        <w:pBdr>
          <w:top w:val="nil"/>
          <w:left w:val="nil"/>
          <w:bottom w:val="nil"/>
          <w:right w:val="nil"/>
          <w:between w:val="nil"/>
        </w:pBdr>
        <w:spacing w:after="0" w:line="240" w:lineRule="auto"/>
        <w:ind w:left="993" w:right="-426" w:hanging="283"/>
        <w:jc w:val="both"/>
        <w:rPr>
          <w:rFonts w:ascii="Noto Sans" w:eastAsia="Noto Sans" w:hAnsi="Noto Sans" w:cs="Noto Sans"/>
          <w:color w:val="000000"/>
          <w:sz w:val="20"/>
          <w:szCs w:val="20"/>
        </w:rPr>
      </w:pPr>
    </w:p>
    <w:p w:rsidR="00AB7E50" w:rsidRDefault="00DA450E">
      <w:pPr>
        <w:numPr>
          <w:ilvl w:val="0"/>
          <w:numId w:val="10"/>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zjištění, že ze strany Lektora nedošlo k dodržení právních předpisů, Etického kodexu, pokynů Organizace pověřené metodickým vedením (Slovo 21) či jiných závazných pokynů;</w:t>
      </w:r>
    </w:p>
    <w:p w:rsidR="00AB7E50" w:rsidRDefault="00AB7E50">
      <w:pPr>
        <w:pBdr>
          <w:top w:val="nil"/>
          <w:left w:val="nil"/>
          <w:bottom w:val="nil"/>
          <w:right w:val="nil"/>
          <w:between w:val="nil"/>
        </w:pBdr>
        <w:spacing w:after="0" w:line="240" w:lineRule="auto"/>
        <w:ind w:left="993" w:right="-426" w:hanging="283"/>
        <w:jc w:val="both"/>
        <w:rPr>
          <w:rFonts w:ascii="Noto Sans" w:eastAsia="Noto Sans" w:hAnsi="Noto Sans" w:cs="Noto Sans"/>
          <w:color w:val="000000"/>
          <w:sz w:val="20"/>
          <w:szCs w:val="20"/>
        </w:rPr>
      </w:pPr>
    </w:p>
    <w:p w:rsidR="00AB7E50" w:rsidRDefault="00DA450E">
      <w:pPr>
        <w:numPr>
          <w:ilvl w:val="0"/>
          <w:numId w:val="10"/>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poskytování Služeb v jiném rozsahu a obsahu, než jsou definovány ve Vyhlášce.</w:t>
      </w:r>
    </w:p>
    <w:p w:rsidR="00AB7E50" w:rsidRDefault="00AB7E50">
      <w:pPr>
        <w:spacing w:after="0"/>
        <w:ind w:left="993" w:right="-426" w:hanging="283"/>
        <w:jc w:val="both"/>
        <w:rPr>
          <w:rFonts w:ascii="Noto Sans" w:eastAsia="Noto Sans" w:hAnsi="Noto Sans" w:cs="Noto Sans"/>
          <w:sz w:val="20"/>
          <w:szCs w:val="20"/>
        </w:rPr>
      </w:pPr>
    </w:p>
    <w:p w:rsidR="00AB7E50" w:rsidRDefault="00DA450E">
      <w:pPr>
        <w:numPr>
          <w:ilvl w:val="0"/>
          <w:numId w:val="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Ustanovení čl. 6 odst. 1 této rámcové smlouvy se nepoužije v případě, že Lektorovi v</w:t>
      </w:r>
      <w:r>
        <w:rPr>
          <w:rFonts w:ascii="Noto Sans" w:eastAsia="Noto Sans" w:hAnsi="Noto Sans" w:cs="Noto Sans"/>
          <w:sz w:val="20"/>
          <w:szCs w:val="20"/>
        </w:rPr>
        <w:t> </w:t>
      </w:r>
      <w:r>
        <w:rPr>
          <w:rFonts w:ascii="Noto Sans" w:eastAsia="Noto Sans" w:hAnsi="Noto Sans" w:cs="Noto Sans"/>
          <w:color w:val="000000"/>
          <w:sz w:val="20"/>
          <w:szCs w:val="20"/>
        </w:rPr>
        <w:t xml:space="preserve">objednané službě zabránily závažné okolnosti nezávislé na jeho vůli (např. onemocnění, zranění, jiná osobní či rodinná událost apod.), to vše za podmínky, že o nemožnosti </w:t>
      </w:r>
      <w:r>
        <w:rPr>
          <w:rFonts w:ascii="Noto Sans" w:eastAsia="Noto Sans" w:hAnsi="Noto Sans" w:cs="Noto Sans"/>
          <w:color w:val="000000"/>
          <w:sz w:val="20"/>
          <w:szCs w:val="20"/>
        </w:rPr>
        <w:t>lektorovat AIK bez zbytečného odkladu vhodným způsobem informoval ICP. Existenci závažných okolností je Lektor povinen na vyzvání osvědčit např. potvrzením od lékaře či jiné osoby, lze-li to spravedlivě požadovat.</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Ustanovení čl. 6 odst. 1 této rámcové sml</w:t>
      </w:r>
      <w:r>
        <w:rPr>
          <w:rFonts w:ascii="Noto Sans" w:eastAsia="Noto Sans" w:hAnsi="Noto Sans" w:cs="Noto Sans"/>
          <w:color w:val="000000"/>
          <w:sz w:val="20"/>
          <w:szCs w:val="20"/>
        </w:rPr>
        <w:t>ouvy se dále nepoužije v případě, že se Lektor s ICP na nekonání AIK písemně domluvil.</w:t>
      </w:r>
    </w:p>
    <w:p w:rsidR="00AB7E50" w:rsidRDefault="00DA450E">
      <w:pPr>
        <w:numPr>
          <w:ilvl w:val="0"/>
          <w:numId w:val="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lastRenderedPageBreak/>
        <w:t>Postup udělení smluvní pokuty a řešení porušení povinností je následující:</w:t>
      </w:r>
    </w:p>
    <w:p w:rsidR="00AB7E50" w:rsidRDefault="00AB7E50">
      <w:pPr>
        <w:pBdr>
          <w:top w:val="nil"/>
          <w:left w:val="nil"/>
          <w:bottom w:val="nil"/>
          <w:right w:val="nil"/>
          <w:between w:val="nil"/>
        </w:pBdr>
        <w:spacing w:after="0" w:line="240" w:lineRule="auto"/>
        <w:ind w:left="993" w:right="-426"/>
        <w:jc w:val="both"/>
        <w:rPr>
          <w:rFonts w:ascii="Noto Sans" w:eastAsia="Noto Sans" w:hAnsi="Noto Sans" w:cs="Noto Sans"/>
          <w:color w:val="000000"/>
          <w:sz w:val="20"/>
          <w:szCs w:val="20"/>
        </w:rPr>
      </w:pPr>
    </w:p>
    <w:p w:rsidR="00AB7E50" w:rsidRDefault="00DA450E">
      <w:pPr>
        <w:numPr>
          <w:ilvl w:val="0"/>
          <w:numId w:val="12"/>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Pověřený pracovník ICP zahájí ve věci šetření, jehož výsledkem bude písemné rozhodnutí ICP o možnosti další spolupráce Lektorem. Toto rozhodnutí bude obsahovat popis porušených povinností Lektora a případně pokyny ke zjednání nápravy. ICP je povinno ve věc</w:t>
      </w:r>
      <w:r>
        <w:rPr>
          <w:rFonts w:ascii="Noto Sans" w:eastAsia="Noto Sans" w:hAnsi="Noto Sans" w:cs="Noto Sans"/>
          <w:color w:val="000000"/>
          <w:sz w:val="20"/>
          <w:szCs w:val="20"/>
        </w:rPr>
        <w:t>i rozhodnout bez zbytečného odkladu, nejpozději však do 45</w:t>
      </w:r>
      <w:r>
        <w:rPr>
          <w:rFonts w:ascii="Noto Sans" w:eastAsia="Noto Sans" w:hAnsi="Noto Sans" w:cs="Noto Sans"/>
          <w:sz w:val="20"/>
          <w:szCs w:val="20"/>
        </w:rPr>
        <w:t> </w:t>
      </w:r>
      <w:r>
        <w:rPr>
          <w:rFonts w:ascii="Noto Sans" w:eastAsia="Noto Sans" w:hAnsi="Noto Sans" w:cs="Noto Sans"/>
          <w:color w:val="000000"/>
          <w:sz w:val="20"/>
          <w:szCs w:val="20"/>
        </w:rPr>
        <w:t>kalendářních dnů od okamžiku, kdy se o porušení povinností Lektora dozvědělo;</w:t>
      </w:r>
    </w:p>
    <w:p w:rsidR="00AB7E50" w:rsidRDefault="00AB7E50">
      <w:pPr>
        <w:pBdr>
          <w:top w:val="nil"/>
          <w:left w:val="nil"/>
          <w:bottom w:val="nil"/>
          <w:right w:val="nil"/>
          <w:between w:val="nil"/>
        </w:pBdr>
        <w:spacing w:after="0" w:line="240" w:lineRule="auto"/>
        <w:ind w:left="993" w:right="-426" w:hanging="283"/>
        <w:jc w:val="both"/>
        <w:rPr>
          <w:rFonts w:ascii="Noto Sans" w:eastAsia="Noto Sans" w:hAnsi="Noto Sans" w:cs="Noto Sans"/>
          <w:color w:val="000000"/>
          <w:sz w:val="20"/>
          <w:szCs w:val="20"/>
        </w:rPr>
      </w:pPr>
    </w:p>
    <w:p w:rsidR="00AB7E50" w:rsidRDefault="00DA450E">
      <w:pPr>
        <w:numPr>
          <w:ilvl w:val="0"/>
          <w:numId w:val="12"/>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ICP je do rozhodnutí podle čl. 6 odst. 4 písm. a) této smlouvy oprávněno pozastavit účast Lektora na již domluvených t</w:t>
      </w:r>
      <w:r>
        <w:rPr>
          <w:rFonts w:ascii="Noto Sans" w:eastAsia="Noto Sans" w:hAnsi="Noto Sans" w:cs="Noto Sans"/>
          <w:color w:val="000000"/>
          <w:sz w:val="20"/>
          <w:szCs w:val="20"/>
        </w:rPr>
        <w:t>ermínech AIK a nenabízet mu termíny nové;</w:t>
      </w:r>
    </w:p>
    <w:p w:rsidR="00AB7E50" w:rsidRDefault="00AB7E50">
      <w:pPr>
        <w:pBdr>
          <w:top w:val="nil"/>
          <w:left w:val="nil"/>
          <w:bottom w:val="nil"/>
          <w:right w:val="nil"/>
          <w:between w:val="nil"/>
        </w:pBdr>
        <w:ind w:left="993" w:right="-426" w:hanging="283"/>
        <w:jc w:val="both"/>
        <w:rPr>
          <w:rFonts w:ascii="Noto Sans" w:eastAsia="Noto Sans" w:hAnsi="Noto Sans" w:cs="Noto Sans"/>
          <w:color w:val="000000"/>
          <w:sz w:val="20"/>
          <w:szCs w:val="20"/>
        </w:rPr>
      </w:pPr>
    </w:p>
    <w:p w:rsidR="00AB7E50" w:rsidRDefault="00DA450E">
      <w:pPr>
        <w:numPr>
          <w:ilvl w:val="0"/>
          <w:numId w:val="12"/>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ICP je do rozhodnutí podle čl. 6 odst. 4 písm. a) této smlouvy oprávněno bez sankce pozastavit výplatu odměny Lektora za AIK, v </w:t>
      </w:r>
      <w:proofErr w:type="gramStart"/>
      <w:r>
        <w:rPr>
          <w:rFonts w:ascii="Noto Sans" w:eastAsia="Noto Sans" w:hAnsi="Noto Sans" w:cs="Noto Sans"/>
          <w:color w:val="000000"/>
          <w:sz w:val="20"/>
          <w:szCs w:val="20"/>
        </w:rPr>
        <w:t>průběhu</w:t>
      </w:r>
      <w:proofErr w:type="gramEnd"/>
      <w:r>
        <w:rPr>
          <w:rFonts w:ascii="Noto Sans" w:eastAsia="Noto Sans" w:hAnsi="Noto Sans" w:cs="Noto Sans"/>
          <w:color w:val="000000"/>
          <w:sz w:val="20"/>
          <w:szCs w:val="20"/>
        </w:rPr>
        <w:t xml:space="preserve"> nichž došlo k porušení jeho povinností. V takovém případě se prodlužuje splatnost již vystavených faktur až do 10. kalen</w:t>
      </w:r>
      <w:r>
        <w:rPr>
          <w:rFonts w:ascii="Noto Sans" w:eastAsia="Noto Sans" w:hAnsi="Noto Sans" w:cs="Noto Sans"/>
          <w:color w:val="000000"/>
          <w:sz w:val="20"/>
          <w:szCs w:val="20"/>
        </w:rPr>
        <w:t>dářního dne od rozhodnutí podle čl. 6 odst. 4 písm. a) této smlouvy;</w:t>
      </w:r>
    </w:p>
    <w:p w:rsidR="00AB7E50" w:rsidRDefault="00AB7E50">
      <w:pPr>
        <w:pBdr>
          <w:top w:val="nil"/>
          <w:left w:val="nil"/>
          <w:bottom w:val="nil"/>
          <w:right w:val="nil"/>
          <w:between w:val="nil"/>
        </w:pBdr>
        <w:spacing w:after="0" w:line="240" w:lineRule="auto"/>
        <w:ind w:left="993" w:right="-426"/>
        <w:jc w:val="both"/>
        <w:rPr>
          <w:rFonts w:ascii="Noto Sans" w:eastAsia="Noto Sans" w:hAnsi="Noto Sans" w:cs="Noto Sans"/>
          <w:color w:val="000000"/>
          <w:sz w:val="20"/>
          <w:szCs w:val="20"/>
        </w:rPr>
      </w:pPr>
    </w:p>
    <w:p w:rsidR="00AB7E50" w:rsidRDefault="00DA450E">
      <w:pPr>
        <w:numPr>
          <w:ilvl w:val="0"/>
          <w:numId w:val="12"/>
        </w:numPr>
        <w:pBdr>
          <w:top w:val="nil"/>
          <w:left w:val="nil"/>
          <w:bottom w:val="nil"/>
          <w:right w:val="nil"/>
          <w:between w:val="nil"/>
        </w:pBdr>
        <w:spacing w:after="0" w:line="240" w:lineRule="auto"/>
        <w:ind w:left="993" w:right="-426" w:hanging="283"/>
        <w:jc w:val="both"/>
        <w:rPr>
          <w:rFonts w:ascii="Noto Sans" w:eastAsia="Noto Sans" w:hAnsi="Noto Sans" w:cs="Noto Sans"/>
          <w:sz w:val="20"/>
          <w:szCs w:val="20"/>
        </w:rPr>
      </w:pPr>
      <w:r>
        <w:rPr>
          <w:rFonts w:ascii="Noto Sans" w:eastAsia="Noto Sans" w:hAnsi="Noto Sans" w:cs="Noto Sans"/>
          <w:color w:val="000000"/>
          <w:sz w:val="20"/>
          <w:szCs w:val="20"/>
        </w:rPr>
        <w:t>Pověřený pracovník ICP v případě nutnosti konzultuje šetření s OAMP MV ČR a Organizací pověřenou metodickým vedením (Slovo 21).</w:t>
      </w:r>
    </w:p>
    <w:p w:rsidR="00AB7E50" w:rsidRDefault="00AB7E50">
      <w:pPr>
        <w:spacing w:after="0"/>
        <w:ind w:left="284" w:right="-426" w:hanging="284"/>
        <w:jc w:val="both"/>
        <w:rPr>
          <w:rFonts w:ascii="Noto Sans" w:eastAsia="Noto Sans" w:hAnsi="Noto Sans" w:cs="Noto Sans"/>
          <w:sz w:val="20"/>
          <w:szCs w:val="20"/>
        </w:rPr>
      </w:pPr>
    </w:p>
    <w:p w:rsidR="00AB7E50" w:rsidRDefault="00AB7E50">
      <w:pPr>
        <w:spacing w:after="0"/>
        <w:ind w:left="284" w:right="-426" w:hanging="284"/>
        <w:jc w:val="center"/>
        <w:rPr>
          <w:rFonts w:ascii="Noto Sans" w:eastAsia="Noto Sans" w:hAnsi="Noto Sans" w:cs="Noto Sans"/>
          <w:b/>
          <w:bCs/>
          <w:sz w:val="20"/>
          <w:szCs w:val="20"/>
        </w:rPr>
      </w:pP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Článek 7</w:t>
      </w: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Doba trvání a ukončení rámcové smlouvy</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4"/>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Tato Smlouva se uzavírá na dobu od </w:t>
      </w:r>
      <w:r>
        <w:rPr>
          <w:rFonts w:ascii="Noto Sans" w:eastAsia="Noto Sans" w:hAnsi="Noto Sans" w:cs="Noto Sans"/>
          <w:sz w:val="20"/>
          <w:szCs w:val="20"/>
        </w:rPr>
        <w:t>data podpisu</w:t>
      </w:r>
      <w:r>
        <w:rPr>
          <w:rFonts w:ascii="Noto Sans" w:eastAsia="Noto Sans" w:hAnsi="Noto Sans" w:cs="Noto Sans"/>
          <w:color w:val="000000"/>
          <w:sz w:val="20"/>
          <w:szCs w:val="20"/>
        </w:rPr>
        <w:t xml:space="preserve"> do 31. 12. 202</w:t>
      </w:r>
      <w:r>
        <w:rPr>
          <w:rFonts w:ascii="Noto Sans" w:eastAsia="Noto Sans" w:hAnsi="Noto Sans" w:cs="Noto Sans"/>
          <w:sz w:val="20"/>
          <w:szCs w:val="20"/>
        </w:rPr>
        <w:t>6</w:t>
      </w:r>
      <w:r>
        <w:rPr>
          <w:rFonts w:ascii="Noto Sans" w:eastAsia="Noto Sans" w:hAnsi="Noto Sans" w:cs="Noto Sans"/>
          <w:color w:val="000000"/>
          <w:sz w:val="20"/>
          <w:szCs w:val="20"/>
        </w:rPr>
        <w:t>, nejdéle však do doby, kdy dojde k zániku některé ze Smluvních stran.</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4"/>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ICP i Lektor mají právo písemně vypovědět rámcovou smlouvu s měsíční výpovědní dobou, a</w:t>
      </w:r>
      <w:r>
        <w:rPr>
          <w:rFonts w:ascii="Noto Sans" w:eastAsia="Noto Sans" w:hAnsi="Noto Sans" w:cs="Noto Sans"/>
          <w:sz w:val="20"/>
          <w:szCs w:val="20"/>
        </w:rPr>
        <w:t> </w:t>
      </w:r>
      <w:r>
        <w:rPr>
          <w:rFonts w:ascii="Noto Sans" w:eastAsia="Noto Sans" w:hAnsi="Noto Sans" w:cs="Noto Sans"/>
          <w:color w:val="000000"/>
          <w:sz w:val="20"/>
          <w:szCs w:val="20"/>
        </w:rPr>
        <w:t>to bez uvedení důvodu. Výpovědní doba počíná běžet prvním dnem měsíce následujícího po měsíci, kdy byla výpověď písemně doručena druhé Smluvní straně. Pro odstranění všech pochybností se stanoví, že Lektor je povinen do uplynutí výpovědní doby poskytovat j</w:t>
      </w:r>
      <w:r>
        <w:rPr>
          <w:rFonts w:ascii="Noto Sans" w:eastAsia="Noto Sans" w:hAnsi="Noto Sans" w:cs="Noto Sans"/>
          <w:color w:val="000000"/>
          <w:sz w:val="20"/>
          <w:szCs w:val="20"/>
        </w:rPr>
        <w:t>iž objednané Služby, to však neplatí, pokud se Strany dohodnou jinak.</w:t>
      </w:r>
    </w:p>
    <w:p w:rsidR="00AB7E50" w:rsidRDefault="00AB7E50">
      <w:pPr>
        <w:pBdr>
          <w:top w:val="nil"/>
          <w:left w:val="nil"/>
          <w:bottom w:val="nil"/>
          <w:right w:val="nil"/>
          <w:between w:val="nil"/>
        </w:pBdr>
        <w:ind w:left="284" w:right="-426" w:hanging="284"/>
        <w:jc w:val="both"/>
        <w:rPr>
          <w:rFonts w:ascii="Noto Sans" w:eastAsia="Noto Sans" w:hAnsi="Noto Sans" w:cs="Noto Sans"/>
          <w:color w:val="000000"/>
          <w:sz w:val="20"/>
          <w:szCs w:val="20"/>
        </w:rPr>
      </w:pPr>
    </w:p>
    <w:p w:rsidR="00AB7E50" w:rsidRDefault="00DA450E">
      <w:pPr>
        <w:numPr>
          <w:ilvl w:val="0"/>
          <w:numId w:val="4"/>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ICP má právo ukončit rámcovou smlouvu okamžitě bez výpovědní doby v případě, že Lektor hrubě porušil své povinnosti stanovené v této smlouvě, či povinnosti Lektora jako osoby vykonávají</w:t>
      </w:r>
      <w:r>
        <w:rPr>
          <w:rFonts w:ascii="Noto Sans" w:eastAsia="Noto Sans" w:hAnsi="Noto Sans" w:cs="Noto Sans"/>
          <w:color w:val="000000"/>
          <w:sz w:val="20"/>
          <w:szCs w:val="20"/>
        </w:rPr>
        <w:t>cí lektorskou činnost podle Vyhlášky.</w:t>
      </w:r>
    </w:p>
    <w:p w:rsidR="00AB7E50" w:rsidRDefault="00AB7E50">
      <w:pPr>
        <w:pBdr>
          <w:top w:val="nil"/>
          <w:left w:val="nil"/>
          <w:bottom w:val="nil"/>
          <w:right w:val="nil"/>
          <w:between w:val="nil"/>
        </w:pBdr>
        <w:ind w:left="284" w:right="-426" w:hanging="284"/>
        <w:jc w:val="both"/>
        <w:rPr>
          <w:rFonts w:ascii="Noto Sans" w:eastAsia="Noto Sans" w:hAnsi="Noto Sans" w:cs="Noto Sans"/>
          <w:color w:val="000000"/>
          <w:sz w:val="20"/>
          <w:szCs w:val="20"/>
        </w:rPr>
      </w:pPr>
    </w:p>
    <w:p w:rsidR="00AB7E50" w:rsidRDefault="00DA450E">
      <w:pPr>
        <w:numPr>
          <w:ilvl w:val="0"/>
          <w:numId w:val="4"/>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Hrubým porušením povinností Lektora se rozumí zejména, nikoliv však výlučně, závažné či opakované méně závažné porušení právních předpisů, pokynů ICP, pokynů OAMP MV ČR nebo dalších pokynů, se kterými byl Lektor ze st</w:t>
      </w:r>
      <w:r>
        <w:rPr>
          <w:rFonts w:ascii="Noto Sans" w:eastAsia="Noto Sans" w:hAnsi="Noto Sans" w:cs="Noto Sans"/>
          <w:color w:val="000000"/>
          <w:sz w:val="20"/>
          <w:szCs w:val="20"/>
        </w:rPr>
        <w:t xml:space="preserve">rany ICP seznámen, nedodržení pokynů Organizace pověřené metodickým vedením (Slovo 21), opakované nedodání objednaných lektorských služeb bez předchozí notifikace a souhlasu ICP či využívání AIK k jiným činnostem, než které jsou definovány v § 12 Vyhlášky </w:t>
      </w:r>
      <w:r>
        <w:rPr>
          <w:rFonts w:ascii="Noto Sans" w:eastAsia="Noto Sans" w:hAnsi="Noto Sans" w:cs="Noto Sans"/>
          <w:color w:val="000000"/>
          <w:sz w:val="20"/>
          <w:szCs w:val="20"/>
        </w:rPr>
        <w:t xml:space="preserve">(např. nabízení zboží či služeb jejich účastníkům). </w:t>
      </w:r>
    </w:p>
    <w:p w:rsidR="00AB7E50" w:rsidRDefault="00AB7E50">
      <w:pPr>
        <w:pBdr>
          <w:top w:val="nil"/>
          <w:left w:val="nil"/>
          <w:bottom w:val="nil"/>
          <w:right w:val="nil"/>
          <w:between w:val="nil"/>
        </w:pBdr>
        <w:spacing w:after="0" w:line="240" w:lineRule="auto"/>
        <w:ind w:left="284" w:right="-426"/>
        <w:jc w:val="both"/>
        <w:rPr>
          <w:rFonts w:ascii="Noto Sans" w:eastAsia="Noto Sans" w:hAnsi="Noto Sans" w:cs="Noto Sans"/>
          <w:color w:val="000000"/>
          <w:sz w:val="20"/>
          <w:szCs w:val="20"/>
        </w:rPr>
      </w:pPr>
    </w:p>
    <w:p w:rsidR="00AB7E50" w:rsidRDefault="00DA450E">
      <w:pPr>
        <w:numPr>
          <w:ilvl w:val="0"/>
          <w:numId w:val="4"/>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Tato smlouva může dále zaniknout způsoby předvídanými příslušnými ustanoveními </w:t>
      </w:r>
      <w:proofErr w:type="spellStart"/>
      <w:r>
        <w:rPr>
          <w:rFonts w:ascii="Noto Sans" w:eastAsia="Noto Sans" w:hAnsi="Noto Sans" w:cs="Noto Sans"/>
          <w:color w:val="000000"/>
          <w:sz w:val="20"/>
          <w:szCs w:val="20"/>
        </w:rPr>
        <w:t>ObčZ</w:t>
      </w:r>
      <w:proofErr w:type="spellEnd"/>
      <w:r>
        <w:rPr>
          <w:rFonts w:ascii="Noto Sans" w:eastAsia="Noto Sans" w:hAnsi="Noto Sans" w:cs="Noto Sans"/>
          <w:color w:val="000000"/>
          <w:sz w:val="20"/>
          <w:szCs w:val="20"/>
        </w:rPr>
        <w:t>.</w:t>
      </w:r>
    </w:p>
    <w:p w:rsidR="00AB7E50" w:rsidRDefault="00AB7E50">
      <w:pPr>
        <w:spacing w:after="0"/>
        <w:ind w:left="284" w:right="-426" w:hanging="284"/>
        <w:jc w:val="center"/>
        <w:rPr>
          <w:rFonts w:ascii="Noto Sans" w:eastAsia="Noto Sans" w:hAnsi="Noto Sans" w:cs="Noto Sans"/>
          <w:b/>
          <w:bCs/>
          <w:sz w:val="20"/>
          <w:szCs w:val="20"/>
        </w:rPr>
      </w:pPr>
    </w:p>
    <w:p w:rsidR="00AB7E50" w:rsidRDefault="00AB7E50">
      <w:pPr>
        <w:spacing w:after="0"/>
        <w:ind w:left="284" w:right="-426" w:hanging="284"/>
        <w:jc w:val="center"/>
        <w:rPr>
          <w:rFonts w:ascii="Noto Sans" w:eastAsia="Noto Sans" w:hAnsi="Noto Sans" w:cs="Noto Sans"/>
          <w:b/>
          <w:bCs/>
          <w:sz w:val="20"/>
          <w:szCs w:val="20"/>
        </w:rPr>
      </w:pP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lastRenderedPageBreak/>
        <w:t>Článek 8</w:t>
      </w: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Změny v údajích a platby</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1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Smluvní strany jsou povinny sdělit si případné změny v kontaktních údajích, včetně jmen, příjmení a e-mailových adres, neprodleně poté, co k takovým změnám dojde.</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1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Odměna Lektora bude vyplácena bankovním převodem na účet Lektora uvedený na faktuře. Odměna </w:t>
      </w:r>
      <w:r>
        <w:rPr>
          <w:rFonts w:ascii="Noto Sans" w:eastAsia="Noto Sans" w:hAnsi="Noto Sans" w:cs="Noto Sans"/>
          <w:color w:val="000000"/>
          <w:sz w:val="20"/>
          <w:szCs w:val="20"/>
        </w:rPr>
        <w:t>je splatná k datu uvedenému na příslušné faktuře vystavené Lektorem a doručené ICP za podmínek stanovených v této rámcové smlouvě, přičemž datum splatnosti faktury bude minimálně 20 dnů ode dne jejího vystavení Lektorem.</w:t>
      </w:r>
    </w:p>
    <w:p w:rsidR="00AB7E50" w:rsidRDefault="00AB7E50">
      <w:pPr>
        <w:pBdr>
          <w:top w:val="nil"/>
          <w:left w:val="nil"/>
          <w:bottom w:val="nil"/>
          <w:right w:val="nil"/>
          <w:between w:val="nil"/>
        </w:pBdr>
        <w:spacing w:after="0" w:line="240" w:lineRule="auto"/>
        <w:ind w:left="284" w:right="-426"/>
        <w:jc w:val="both"/>
        <w:rPr>
          <w:rFonts w:ascii="Noto Sans" w:eastAsia="Noto Sans" w:hAnsi="Noto Sans" w:cs="Noto Sans"/>
          <w:color w:val="000000"/>
          <w:sz w:val="20"/>
          <w:szCs w:val="20"/>
        </w:rPr>
      </w:pPr>
    </w:p>
    <w:p w:rsidR="00AB7E50" w:rsidRDefault="00DA450E">
      <w:pPr>
        <w:numPr>
          <w:ilvl w:val="0"/>
          <w:numId w:val="1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Faktura musí obsahovat náležitosti účetního dokladu zakotvené v zákoně o účetnictví, případně daňového dokladu ve smyslu zákona o dani z přidané hodnoty a § 435 </w:t>
      </w:r>
      <w:proofErr w:type="spellStart"/>
      <w:r>
        <w:rPr>
          <w:rFonts w:ascii="Noto Sans" w:eastAsia="Noto Sans" w:hAnsi="Noto Sans" w:cs="Noto Sans"/>
          <w:color w:val="000000"/>
          <w:sz w:val="20"/>
          <w:szCs w:val="20"/>
        </w:rPr>
        <w:t>ObčZ</w:t>
      </w:r>
      <w:proofErr w:type="spellEnd"/>
      <w:r>
        <w:rPr>
          <w:rFonts w:ascii="Noto Sans" w:eastAsia="Noto Sans" w:hAnsi="Noto Sans" w:cs="Noto Sans"/>
          <w:color w:val="000000"/>
          <w:sz w:val="20"/>
          <w:szCs w:val="20"/>
        </w:rPr>
        <w:t>, a dále identifikaci Projektu označením „</w:t>
      </w:r>
      <w:r>
        <w:rPr>
          <w:rFonts w:ascii="Noto Sans" w:eastAsia="Noto Sans" w:hAnsi="Noto Sans" w:cs="Noto Sans"/>
          <w:b/>
          <w:bCs/>
          <w:color w:val="000000"/>
          <w:sz w:val="20"/>
          <w:szCs w:val="20"/>
        </w:rPr>
        <w:t>AIK ICP 2</w:t>
      </w:r>
      <w:r>
        <w:rPr>
          <w:rFonts w:ascii="Noto Sans" w:eastAsia="Noto Sans" w:hAnsi="Noto Sans" w:cs="Noto Sans"/>
          <w:b/>
          <w:bCs/>
          <w:sz w:val="20"/>
          <w:szCs w:val="20"/>
        </w:rPr>
        <w:t>6</w:t>
      </w:r>
      <w:r>
        <w:rPr>
          <w:rFonts w:ascii="Noto Sans" w:eastAsia="Noto Sans" w:hAnsi="Noto Sans" w:cs="Noto Sans"/>
          <w:color w:val="000000"/>
          <w:sz w:val="20"/>
          <w:szCs w:val="20"/>
        </w:rPr>
        <w:t>“ a daty objednaných služeb, za které vznikl nárok na odměnu. Nebude-li faktura obsahovat zákonem či touto smlouvou požadované náležitosti nebo bude chybně vyúčtována cena nebo DPH, je ICP oprávněno fakturu před uplynutím její splatnosti vrátit Lektorovi k</w:t>
      </w:r>
      <w:r>
        <w:rPr>
          <w:rFonts w:ascii="Noto Sans" w:eastAsia="Noto Sans" w:hAnsi="Noto Sans" w:cs="Noto Sans"/>
          <w:color w:val="000000"/>
          <w:sz w:val="20"/>
          <w:szCs w:val="20"/>
        </w:rPr>
        <w:t xml:space="preserve"> provedení opravy s vyznačením důvodu vrácení. Lektor provede opravu vystavením nové faktury. Dnem vrácení faktury se přerušuje lhůta její splatnosti a nová lhůta splatnosti běží znovu ode dne doručení nové faktury ICP.</w:t>
      </w:r>
    </w:p>
    <w:p w:rsidR="00AB7E50" w:rsidRDefault="00AB7E50">
      <w:pPr>
        <w:pBdr>
          <w:top w:val="nil"/>
          <w:left w:val="nil"/>
          <w:bottom w:val="nil"/>
          <w:right w:val="nil"/>
          <w:between w:val="nil"/>
        </w:pBdr>
        <w:spacing w:after="0" w:line="240" w:lineRule="auto"/>
        <w:ind w:left="284" w:right="-426"/>
        <w:jc w:val="both"/>
        <w:rPr>
          <w:rFonts w:ascii="Noto Sans" w:eastAsia="Noto Sans" w:hAnsi="Noto Sans" w:cs="Noto Sans"/>
          <w:color w:val="000000"/>
          <w:sz w:val="20"/>
          <w:szCs w:val="20"/>
        </w:rPr>
      </w:pPr>
    </w:p>
    <w:p w:rsidR="00AB7E50" w:rsidRDefault="00DA450E">
      <w:pPr>
        <w:numPr>
          <w:ilvl w:val="0"/>
          <w:numId w:val="13"/>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Datum, kdy byla platba odeslána na </w:t>
      </w:r>
      <w:r>
        <w:rPr>
          <w:rFonts w:ascii="Noto Sans" w:eastAsia="Noto Sans" w:hAnsi="Noto Sans" w:cs="Noto Sans"/>
          <w:color w:val="000000"/>
          <w:sz w:val="20"/>
          <w:szCs w:val="20"/>
        </w:rPr>
        <w:t>bankovní účet Lektora uvedený na příslušném dokladu, je</w:t>
      </w:r>
      <w:r>
        <w:rPr>
          <w:rFonts w:ascii="Noto Sans" w:eastAsia="Noto Sans" w:hAnsi="Noto Sans" w:cs="Noto Sans"/>
          <w:sz w:val="20"/>
          <w:szCs w:val="20"/>
        </w:rPr>
        <w:t> </w:t>
      </w:r>
      <w:r>
        <w:rPr>
          <w:rFonts w:ascii="Noto Sans" w:eastAsia="Noto Sans" w:hAnsi="Noto Sans" w:cs="Noto Sans"/>
          <w:color w:val="000000"/>
          <w:sz w:val="20"/>
          <w:szCs w:val="20"/>
        </w:rPr>
        <w:t>rozhodné pro posouzení, zda platba byla nebo nebyla provedena včas.</w:t>
      </w:r>
    </w:p>
    <w:p w:rsidR="00AB7E50" w:rsidRDefault="00AB7E50">
      <w:pPr>
        <w:spacing w:after="0"/>
        <w:ind w:left="284" w:right="-426" w:hanging="284"/>
        <w:jc w:val="center"/>
        <w:rPr>
          <w:rFonts w:ascii="Noto Sans" w:eastAsia="Noto Sans" w:hAnsi="Noto Sans" w:cs="Noto Sans"/>
          <w:sz w:val="20"/>
          <w:szCs w:val="20"/>
        </w:rPr>
      </w:pPr>
    </w:p>
    <w:p w:rsidR="00AB7E50" w:rsidRDefault="00AB7E50">
      <w:pPr>
        <w:spacing w:after="0"/>
        <w:ind w:left="284" w:right="-426" w:hanging="284"/>
        <w:jc w:val="center"/>
        <w:rPr>
          <w:rFonts w:ascii="Noto Sans" w:eastAsia="Noto Sans" w:hAnsi="Noto Sans" w:cs="Noto Sans"/>
          <w:b/>
          <w:bCs/>
          <w:sz w:val="20"/>
          <w:szCs w:val="20"/>
        </w:rPr>
      </w:pP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Článek 9</w:t>
      </w: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Salvátorská klauzule</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8"/>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Pokud by jednotlivá ustanovení této rámcové smlouvy byla neplatná, popř. nerealizovatelná nebo se neplatnými či nerealizovatelnými stala, nebude tím dotčena platnost této rámcové smlouvy v ostatních ujednáních. Smluvní strany se namísto uplatňování neplatn</w:t>
      </w:r>
      <w:r>
        <w:rPr>
          <w:rFonts w:ascii="Noto Sans" w:eastAsia="Noto Sans" w:hAnsi="Noto Sans" w:cs="Noto Sans"/>
          <w:color w:val="000000"/>
          <w:sz w:val="20"/>
          <w:szCs w:val="20"/>
        </w:rPr>
        <w:t>osti těchto ujednání zavazují nahradit neplatné nebo nerealizovatelné ustanovení takovým ujednáním, které se, pokud možno, svým obsahem co nejvíce přiblíží zamýšlenému účelu původního ustanovení. To platí i pro vyplnění případných mezer v této rámcové smlo</w:t>
      </w:r>
      <w:r>
        <w:rPr>
          <w:rFonts w:ascii="Noto Sans" w:eastAsia="Noto Sans" w:hAnsi="Noto Sans" w:cs="Noto Sans"/>
          <w:color w:val="000000"/>
          <w:sz w:val="20"/>
          <w:szCs w:val="20"/>
        </w:rPr>
        <w:t xml:space="preserve">uvě. </w:t>
      </w:r>
    </w:p>
    <w:p w:rsidR="00AB7E50" w:rsidRDefault="00AB7E50">
      <w:pPr>
        <w:spacing w:after="0"/>
        <w:ind w:left="284" w:right="-426" w:hanging="284"/>
        <w:jc w:val="both"/>
        <w:rPr>
          <w:rFonts w:ascii="Noto Sans" w:eastAsia="Noto Sans" w:hAnsi="Noto Sans" w:cs="Noto Sans"/>
          <w:sz w:val="20"/>
          <w:szCs w:val="20"/>
        </w:rPr>
      </w:pPr>
    </w:p>
    <w:p w:rsidR="00AB7E50" w:rsidRDefault="00AB7E50">
      <w:pPr>
        <w:spacing w:after="0"/>
        <w:ind w:left="284" w:right="-426" w:hanging="284"/>
        <w:jc w:val="center"/>
        <w:rPr>
          <w:rFonts w:ascii="Noto Sans" w:eastAsia="Noto Sans" w:hAnsi="Noto Sans" w:cs="Noto Sans"/>
          <w:b/>
          <w:bCs/>
          <w:sz w:val="20"/>
          <w:szCs w:val="20"/>
        </w:rPr>
      </w:pP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Článek 10</w:t>
      </w:r>
    </w:p>
    <w:p w:rsidR="00AB7E50" w:rsidRDefault="00DA450E">
      <w:pPr>
        <w:spacing w:after="0"/>
        <w:ind w:left="284" w:right="-426" w:hanging="284"/>
        <w:jc w:val="center"/>
        <w:rPr>
          <w:rFonts w:ascii="Noto Sans" w:eastAsia="Noto Sans" w:hAnsi="Noto Sans" w:cs="Noto Sans"/>
          <w:b/>
          <w:bCs/>
          <w:sz w:val="20"/>
          <w:szCs w:val="20"/>
        </w:rPr>
      </w:pPr>
      <w:r>
        <w:rPr>
          <w:rFonts w:ascii="Noto Sans" w:eastAsia="Noto Sans" w:hAnsi="Noto Sans" w:cs="Noto Sans"/>
          <w:b/>
          <w:bCs/>
          <w:sz w:val="20"/>
          <w:szCs w:val="20"/>
        </w:rPr>
        <w:t>Závěrečná ustanovení</w:t>
      </w:r>
    </w:p>
    <w:p w:rsidR="00AB7E50" w:rsidRDefault="00AB7E50">
      <w:pPr>
        <w:pBdr>
          <w:top w:val="nil"/>
          <w:left w:val="nil"/>
          <w:bottom w:val="nil"/>
          <w:right w:val="nil"/>
          <w:between w:val="nil"/>
        </w:pBdr>
        <w:spacing w:after="0" w:line="240" w:lineRule="auto"/>
        <w:ind w:left="284" w:right="-426" w:hanging="284"/>
        <w:rPr>
          <w:rFonts w:ascii="Noto Sans" w:eastAsia="Noto Sans" w:hAnsi="Noto Sans" w:cs="Noto Sans"/>
          <w:color w:val="000000"/>
          <w:sz w:val="20"/>
          <w:szCs w:val="20"/>
        </w:rPr>
      </w:pPr>
    </w:p>
    <w:p w:rsidR="00AB7E50" w:rsidRDefault="00DA450E">
      <w:pPr>
        <w:numPr>
          <w:ilvl w:val="0"/>
          <w:numId w:val="5"/>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Tato rámcová smlouva byla vyhotovena ve 2 stejnopisech, z nichž každý má právní sílu originálu a každá ze smluvních stran obdrží po jednom stejnopise.</w:t>
      </w:r>
    </w:p>
    <w:p w:rsidR="00AB7E50" w:rsidRDefault="00AB7E50">
      <w:pPr>
        <w:pBdr>
          <w:top w:val="nil"/>
          <w:left w:val="nil"/>
          <w:bottom w:val="nil"/>
          <w:right w:val="nil"/>
          <w:between w:val="nil"/>
        </w:pBdr>
        <w:spacing w:after="0" w:line="240" w:lineRule="auto"/>
        <w:ind w:left="284" w:right="-426" w:hanging="284"/>
        <w:jc w:val="both"/>
        <w:rPr>
          <w:rFonts w:ascii="Noto Sans" w:eastAsia="Noto Sans" w:hAnsi="Noto Sans" w:cs="Noto Sans"/>
          <w:color w:val="000000"/>
          <w:sz w:val="20"/>
          <w:szCs w:val="20"/>
        </w:rPr>
      </w:pPr>
    </w:p>
    <w:p w:rsidR="00AB7E50" w:rsidRDefault="00DA450E">
      <w:pPr>
        <w:numPr>
          <w:ilvl w:val="0"/>
          <w:numId w:val="5"/>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 xml:space="preserve">Tato rámcová smlouva nabývá platnosti a účinnosti </w:t>
      </w:r>
      <w:r>
        <w:rPr>
          <w:rFonts w:ascii="Noto Sans" w:eastAsia="Noto Sans" w:hAnsi="Noto Sans" w:cs="Noto Sans"/>
          <w:sz w:val="20"/>
          <w:szCs w:val="20"/>
        </w:rPr>
        <w:t>dnem podpisu oběma Stranami.</w:t>
      </w:r>
    </w:p>
    <w:p w:rsidR="00AB7E50" w:rsidRDefault="00AB7E50">
      <w:pPr>
        <w:pBdr>
          <w:top w:val="nil"/>
          <w:left w:val="nil"/>
          <w:bottom w:val="nil"/>
          <w:right w:val="nil"/>
          <w:between w:val="nil"/>
        </w:pBdr>
        <w:spacing w:after="0" w:line="240" w:lineRule="auto"/>
        <w:ind w:left="284" w:right="-426"/>
        <w:jc w:val="both"/>
        <w:rPr>
          <w:rFonts w:ascii="Noto Sans" w:eastAsia="Noto Sans" w:hAnsi="Noto Sans" w:cs="Noto Sans"/>
          <w:color w:val="000000"/>
          <w:sz w:val="20"/>
          <w:szCs w:val="20"/>
        </w:rPr>
      </w:pPr>
    </w:p>
    <w:p w:rsidR="00AB7E50" w:rsidRDefault="00DA450E">
      <w:pPr>
        <w:numPr>
          <w:ilvl w:val="0"/>
          <w:numId w:val="5"/>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t>Žádná vedlejší ústní ujednání k této rámcové smlouvě nebyla učiněna. Tato rámcová smlouva může být měněna pouze písemnými číslovanými dodatky, které budou podepsány oběma smluvními stranami.</w:t>
      </w:r>
    </w:p>
    <w:p w:rsidR="00AB7E50" w:rsidRDefault="00AB7E50">
      <w:pPr>
        <w:pBdr>
          <w:top w:val="nil"/>
          <w:left w:val="nil"/>
          <w:bottom w:val="nil"/>
          <w:right w:val="nil"/>
          <w:between w:val="nil"/>
        </w:pBdr>
        <w:spacing w:after="0" w:line="240" w:lineRule="auto"/>
        <w:ind w:left="284" w:right="-426"/>
        <w:jc w:val="both"/>
        <w:rPr>
          <w:rFonts w:ascii="Noto Sans" w:eastAsia="Noto Sans" w:hAnsi="Noto Sans" w:cs="Noto Sans"/>
          <w:color w:val="000000"/>
          <w:sz w:val="20"/>
          <w:szCs w:val="20"/>
        </w:rPr>
      </w:pPr>
    </w:p>
    <w:p w:rsidR="00AB7E50" w:rsidRDefault="00DA450E">
      <w:pPr>
        <w:numPr>
          <w:ilvl w:val="0"/>
          <w:numId w:val="5"/>
        </w:numPr>
        <w:pBdr>
          <w:top w:val="nil"/>
          <w:left w:val="nil"/>
          <w:bottom w:val="nil"/>
          <w:right w:val="nil"/>
          <w:between w:val="nil"/>
        </w:pBdr>
        <w:spacing w:after="0" w:line="240" w:lineRule="auto"/>
        <w:ind w:left="284" w:right="-426" w:hanging="284"/>
        <w:jc w:val="both"/>
        <w:rPr>
          <w:rFonts w:ascii="Noto Sans" w:eastAsia="Noto Sans" w:hAnsi="Noto Sans" w:cs="Noto Sans"/>
          <w:sz w:val="20"/>
          <w:szCs w:val="20"/>
        </w:rPr>
      </w:pPr>
      <w:r>
        <w:rPr>
          <w:rFonts w:ascii="Noto Sans" w:eastAsia="Noto Sans" w:hAnsi="Noto Sans" w:cs="Noto Sans"/>
          <w:color w:val="000000"/>
          <w:sz w:val="20"/>
          <w:szCs w:val="20"/>
        </w:rPr>
        <w:lastRenderedPageBreak/>
        <w:t>Smluvní strany prohlašují, že si t</w:t>
      </w:r>
      <w:r>
        <w:rPr>
          <w:rFonts w:ascii="Noto Sans" w:eastAsia="Noto Sans" w:hAnsi="Noto Sans" w:cs="Noto Sans"/>
          <w:color w:val="000000"/>
          <w:sz w:val="20"/>
          <w:szCs w:val="20"/>
        </w:rPr>
        <w:t>uto rámcovou smlouvu před jejím podpisem přečetly, souhlasí s jejím obsahem, dále prohlašují, že byla uzavřena po vzájemném projednání na základě jejich pravé a svobodné vůle, určitě, vážně a srozumitelně, nikoli v tísni ani za nápadně jednostranně nevýhod</w:t>
      </w:r>
      <w:r>
        <w:rPr>
          <w:rFonts w:ascii="Noto Sans" w:eastAsia="Noto Sans" w:hAnsi="Noto Sans" w:cs="Noto Sans"/>
          <w:color w:val="000000"/>
          <w:sz w:val="20"/>
          <w:szCs w:val="20"/>
        </w:rPr>
        <w:t xml:space="preserve">ných podmínek, čímž vylučují uplatnění ustanovení § 1793 </w:t>
      </w:r>
      <w:proofErr w:type="spellStart"/>
      <w:r>
        <w:rPr>
          <w:rFonts w:ascii="Noto Sans" w:eastAsia="Noto Sans" w:hAnsi="Noto Sans" w:cs="Noto Sans"/>
          <w:color w:val="000000"/>
          <w:sz w:val="20"/>
          <w:szCs w:val="20"/>
        </w:rPr>
        <w:t>ObčZ</w:t>
      </w:r>
      <w:proofErr w:type="spellEnd"/>
      <w:r>
        <w:rPr>
          <w:rFonts w:ascii="Noto Sans" w:eastAsia="Noto Sans" w:hAnsi="Noto Sans" w:cs="Noto Sans"/>
          <w:color w:val="000000"/>
          <w:sz w:val="20"/>
          <w:szCs w:val="20"/>
        </w:rPr>
        <w:t xml:space="preserve"> na tuto rámcovou smlouvu, což vše stvrzují svými podpisy.</w:t>
      </w:r>
    </w:p>
    <w:p w:rsidR="00AB7E50" w:rsidRDefault="00AB7E50">
      <w:pPr>
        <w:pBdr>
          <w:top w:val="nil"/>
          <w:left w:val="nil"/>
          <w:bottom w:val="nil"/>
          <w:right w:val="nil"/>
          <w:between w:val="nil"/>
        </w:pBdr>
        <w:ind w:left="284" w:right="-426" w:hanging="284"/>
        <w:jc w:val="both"/>
        <w:rPr>
          <w:rFonts w:ascii="Noto Sans" w:eastAsia="Noto Sans" w:hAnsi="Noto Sans" w:cs="Noto Sans"/>
          <w:color w:val="000000"/>
          <w:sz w:val="20"/>
          <w:szCs w:val="20"/>
        </w:rPr>
      </w:pPr>
    </w:p>
    <w:p w:rsidR="00AB7E50" w:rsidRDefault="00AB7E50">
      <w:pPr>
        <w:pBdr>
          <w:top w:val="nil"/>
          <w:left w:val="nil"/>
          <w:bottom w:val="nil"/>
          <w:right w:val="nil"/>
          <w:between w:val="nil"/>
        </w:pBdr>
        <w:spacing w:after="0" w:line="240" w:lineRule="auto"/>
        <w:ind w:left="720"/>
        <w:rPr>
          <w:rFonts w:ascii="Noto Sans" w:eastAsia="Noto Sans" w:hAnsi="Noto Sans" w:cs="Noto Sans"/>
          <w:color w:val="000000"/>
          <w:sz w:val="20"/>
          <w:szCs w:val="20"/>
        </w:rPr>
      </w:pPr>
    </w:p>
    <w:p w:rsidR="00AB7E50" w:rsidRDefault="00AB7E50">
      <w:pPr>
        <w:pBdr>
          <w:top w:val="nil"/>
          <w:left w:val="nil"/>
          <w:bottom w:val="nil"/>
          <w:right w:val="nil"/>
          <w:between w:val="nil"/>
        </w:pBdr>
        <w:spacing w:after="0" w:line="240" w:lineRule="auto"/>
        <w:ind w:left="720"/>
        <w:rPr>
          <w:rFonts w:ascii="Noto Sans" w:eastAsia="Noto Sans" w:hAnsi="Noto Sans" w:cs="Noto Sans"/>
          <w:color w:val="000000"/>
          <w:sz w:val="20"/>
          <w:szCs w:val="20"/>
        </w:rPr>
      </w:pP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 xml:space="preserve">      </w:t>
      </w: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____________________________</w:t>
      </w:r>
      <w:r>
        <w:rPr>
          <w:rFonts w:ascii="Noto Sans" w:eastAsia="Noto Sans" w:hAnsi="Noto Sans" w:cs="Noto Sans"/>
          <w:sz w:val="20"/>
          <w:szCs w:val="20"/>
        </w:rPr>
        <w:tab/>
      </w:r>
      <w:r>
        <w:rPr>
          <w:rFonts w:ascii="Noto Sans" w:eastAsia="Noto Sans" w:hAnsi="Noto Sans" w:cs="Noto Sans"/>
          <w:sz w:val="20"/>
          <w:szCs w:val="20"/>
        </w:rPr>
        <w:tab/>
      </w:r>
      <w:r>
        <w:rPr>
          <w:rFonts w:ascii="Noto Sans" w:eastAsia="Noto Sans" w:hAnsi="Noto Sans" w:cs="Noto Sans"/>
          <w:sz w:val="20"/>
          <w:szCs w:val="20"/>
        </w:rPr>
        <w:tab/>
      </w:r>
      <w:r>
        <w:rPr>
          <w:rFonts w:ascii="Noto Sans" w:eastAsia="Noto Sans" w:hAnsi="Noto Sans" w:cs="Noto Sans"/>
          <w:sz w:val="20"/>
          <w:szCs w:val="20"/>
        </w:rPr>
        <w:tab/>
      </w:r>
      <w:r>
        <w:rPr>
          <w:rFonts w:ascii="Noto Sans" w:eastAsia="Noto Sans" w:hAnsi="Noto Sans" w:cs="Noto Sans"/>
          <w:sz w:val="20"/>
          <w:szCs w:val="20"/>
        </w:rPr>
        <w:tab/>
        <w:t>____________________________</w:t>
      </w:r>
    </w:p>
    <w:p w:rsidR="00AB7E50" w:rsidRDefault="00AB7E50">
      <w:pPr>
        <w:spacing w:after="0"/>
        <w:ind w:right="-426"/>
        <w:jc w:val="both"/>
        <w:rPr>
          <w:rFonts w:ascii="Noto Sans" w:eastAsia="Noto Sans" w:hAnsi="Noto Sans" w:cs="Noto Sans"/>
          <w:sz w:val="20"/>
          <w:szCs w:val="20"/>
        </w:rPr>
      </w:pPr>
    </w:p>
    <w:p w:rsidR="00AB7E50" w:rsidRDefault="00DA450E">
      <w:pPr>
        <w:spacing w:after="0"/>
        <w:ind w:right="-426"/>
        <w:jc w:val="both"/>
        <w:rPr>
          <w:rFonts w:ascii="Noto Sans" w:eastAsia="Noto Sans" w:hAnsi="Noto Sans" w:cs="Noto Sans"/>
          <w:b/>
          <w:bCs/>
          <w:sz w:val="20"/>
          <w:szCs w:val="20"/>
        </w:rPr>
      </w:pPr>
      <w:r>
        <w:rPr>
          <w:rFonts w:ascii="Noto Sans" w:eastAsia="Noto Sans" w:hAnsi="Noto Sans" w:cs="Noto Sans"/>
          <w:sz w:val="20"/>
          <w:szCs w:val="20"/>
        </w:rPr>
        <w:t xml:space="preserve">za </w:t>
      </w:r>
      <w:r>
        <w:rPr>
          <w:rFonts w:ascii="Noto Sans" w:eastAsia="Noto Sans" w:hAnsi="Noto Sans" w:cs="Noto Sans"/>
          <w:b/>
          <w:bCs/>
          <w:sz w:val="20"/>
          <w:szCs w:val="20"/>
        </w:rPr>
        <w:t>Integrační centrum Praha, o.p.s.</w:t>
      </w:r>
      <w:r>
        <w:rPr>
          <w:rFonts w:ascii="Noto Sans" w:eastAsia="Noto Sans" w:hAnsi="Noto Sans" w:cs="Noto Sans"/>
          <w:b/>
          <w:bCs/>
          <w:sz w:val="20"/>
          <w:szCs w:val="20"/>
        </w:rPr>
        <w:tab/>
      </w:r>
      <w:r>
        <w:rPr>
          <w:rFonts w:ascii="Noto Sans" w:eastAsia="Noto Sans" w:hAnsi="Noto Sans" w:cs="Noto Sans"/>
          <w:b/>
          <w:bCs/>
          <w:sz w:val="20"/>
          <w:szCs w:val="20"/>
        </w:rPr>
        <w:tab/>
      </w:r>
      <w:r>
        <w:rPr>
          <w:rFonts w:ascii="Noto Sans" w:eastAsia="Noto Sans" w:hAnsi="Noto Sans" w:cs="Noto Sans"/>
          <w:b/>
          <w:bCs/>
          <w:sz w:val="20"/>
          <w:szCs w:val="20"/>
        </w:rPr>
        <w:tab/>
      </w:r>
      <w:r>
        <w:rPr>
          <w:rFonts w:ascii="Noto Sans" w:eastAsia="Noto Sans" w:hAnsi="Noto Sans" w:cs="Noto Sans"/>
          <w:b/>
          <w:bCs/>
          <w:sz w:val="20"/>
          <w:szCs w:val="20"/>
        </w:rPr>
        <w:tab/>
        <w:t>Jméno Příjmení</w:t>
      </w: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 xml:space="preserve">Mgr. Alen </w:t>
      </w:r>
      <w:proofErr w:type="spellStart"/>
      <w:r>
        <w:rPr>
          <w:rFonts w:ascii="Noto Sans" w:eastAsia="Noto Sans" w:hAnsi="Noto Sans" w:cs="Noto Sans"/>
          <w:sz w:val="20"/>
          <w:szCs w:val="20"/>
        </w:rPr>
        <w:t>Kovačević</w:t>
      </w:r>
      <w:proofErr w:type="spellEnd"/>
      <w:r>
        <w:rPr>
          <w:rFonts w:ascii="Noto Sans" w:eastAsia="Noto Sans" w:hAnsi="Noto Sans" w:cs="Noto Sans"/>
          <w:sz w:val="20"/>
          <w:szCs w:val="20"/>
        </w:rPr>
        <w:t>, ředitel</w:t>
      </w: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AB7E50">
      <w:pPr>
        <w:spacing w:after="0"/>
        <w:ind w:right="-426"/>
        <w:jc w:val="both"/>
        <w:rPr>
          <w:rFonts w:ascii="Noto Sans" w:eastAsia="Noto Sans" w:hAnsi="Noto Sans" w:cs="Noto Sans"/>
          <w:sz w:val="20"/>
          <w:szCs w:val="20"/>
        </w:rPr>
      </w:pPr>
    </w:p>
    <w:p w:rsidR="00AB7E50" w:rsidRDefault="00DA450E">
      <w:pPr>
        <w:spacing w:after="0"/>
        <w:ind w:right="-426"/>
        <w:jc w:val="both"/>
        <w:rPr>
          <w:rFonts w:ascii="Noto Sans" w:eastAsia="Noto Sans" w:hAnsi="Noto Sans" w:cs="Noto Sans"/>
          <w:b/>
          <w:bCs/>
          <w:sz w:val="20"/>
          <w:szCs w:val="20"/>
        </w:rPr>
      </w:pPr>
      <w:r>
        <w:rPr>
          <w:rFonts w:ascii="Noto Sans" w:eastAsia="Noto Sans" w:hAnsi="Noto Sans" w:cs="Noto Sans"/>
          <w:b/>
          <w:bCs/>
          <w:sz w:val="20"/>
          <w:szCs w:val="20"/>
        </w:rPr>
        <w:t>PŘÍLOHY:</w:t>
      </w: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 xml:space="preserve">ke stažení pod odkazem: </w:t>
      </w:r>
      <w:hyperlink r:id="rId9">
        <w:r>
          <w:rPr>
            <w:rFonts w:ascii="Noto Sans" w:eastAsia="Noto Sans" w:hAnsi="Noto Sans" w:cs="Noto Sans"/>
            <w:color w:val="0000FF"/>
            <w:sz w:val="20"/>
            <w:szCs w:val="20"/>
            <w:u w:val="single"/>
          </w:rPr>
          <w:t>https://icpraha.com/ke-stazeni</w:t>
        </w:r>
      </w:hyperlink>
      <w:r>
        <w:rPr>
          <w:rFonts w:ascii="Noto Sans" w:eastAsia="Noto Sans" w:hAnsi="Noto Sans" w:cs="Noto Sans"/>
          <w:sz w:val="20"/>
          <w:szCs w:val="20"/>
        </w:rPr>
        <w:t>, ve složce “Dokumenty pro lektory a tlumočníky AIK”</w:t>
      </w: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Příloha č. 1: Objednávání a fakturace služeb lektorů a tlumočníků</w:t>
      </w: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Příloha č. 2: Etický kodex pro lektory a tlumočníky AIK</w:t>
      </w:r>
    </w:p>
    <w:p w:rsidR="00AB7E50" w:rsidRDefault="00DA450E">
      <w:pPr>
        <w:spacing w:after="0"/>
        <w:ind w:right="-426"/>
        <w:jc w:val="both"/>
        <w:rPr>
          <w:rFonts w:ascii="Noto Sans" w:eastAsia="Noto Sans" w:hAnsi="Noto Sans" w:cs="Noto Sans"/>
          <w:sz w:val="20"/>
          <w:szCs w:val="20"/>
        </w:rPr>
      </w:pPr>
      <w:r>
        <w:rPr>
          <w:rFonts w:ascii="Noto Sans" w:eastAsia="Noto Sans" w:hAnsi="Noto Sans" w:cs="Noto Sans"/>
          <w:sz w:val="20"/>
          <w:szCs w:val="20"/>
        </w:rPr>
        <w:t>Pokyny pro bezpečnost pro lektory a tlumočníky AIK</w:t>
      </w:r>
    </w:p>
    <w:p w:rsidR="00AB7E50" w:rsidRDefault="00DA450E">
      <w:pPr>
        <w:spacing w:after="0"/>
        <w:ind w:right="-426"/>
        <w:jc w:val="both"/>
        <w:rPr>
          <w:rFonts w:ascii="Noto Sans" w:eastAsia="Noto Sans" w:hAnsi="Noto Sans" w:cs="Noto Sans"/>
          <w:sz w:val="20"/>
          <w:szCs w:val="20"/>
        </w:rPr>
      </w:pPr>
      <w:proofErr w:type="spellStart"/>
      <w:r>
        <w:rPr>
          <w:rFonts w:ascii="Noto Sans" w:eastAsia="Noto Sans" w:hAnsi="Noto Sans" w:cs="Noto Sans"/>
          <w:sz w:val="20"/>
          <w:szCs w:val="20"/>
        </w:rPr>
        <w:t>GDPR_Informace</w:t>
      </w:r>
      <w:proofErr w:type="spellEnd"/>
      <w:r>
        <w:rPr>
          <w:rFonts w:ascii="Noto Sans" w:eastAsia="Noto Sans" w:hAnsi="Noto Sans" w:cs="Noto Sans"/>
          <w:sz w:val="20"/>
          <w:szCs w:val="20"/>
        </w:rPr>
        <w:t xml:space="preserve"> o zpracování osobních údajů lektorů a tlumočníků AIK</w:t>
      </w:r>
    </w:p>
    <w:sectPr w:rsidR="00AB7E5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1417" w:footer="566"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450E" w:rsidRDefault="00DA450E">
      <w:pPr>
        <w:spacing w:after="0" w:line="240" w:lineRule="auto"/>
      </w:pPr>
      <w:r>
        <w:separator/>
      </w:r>
    </w:p>
  </w:endnote>
  <w:endnote w:type="continuationSeparator" w:id="0">
    <w:p w:rsidR="00DA450E" w:rsidRDefault="00DA4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71DD8A3F-13F6-4BF1-90BE-264951FCF394}"/>
    <w:embedBold r:id="rId2" w:fontKey="{D96AF53A-FC1B-474E-8E02-EC43AB99D05D}"/>
  </w:font>
  <w:font w:name="Georgia">
    <w:panose1 w:val="02040502050405020303"/>
    <w:charset w:val="EE"/>
    <w:family w:val="roman"/>
    <w:pitch w:val="variable"/>
    <w:sig w:usb0="00000287" w:usb1="00000000" w:usb2="00000000" w:usb3="00000000" w:csb0="0000009F" w:csb1="00000000"/>
    <w:embedItalic r:id="rId3" w:fontKey="{CC9C6008-FF02-44DF-BF70-D8D49944A8B2}"/>
  </w:font>
  <w:font w:name="Noto Sans">
    <w:panose1 w:val="020B0502040504020204"/>
    <w:charset w:val="EE"/>
    <w:family w:val="swiss"/>
    <w:pitch w:val="variable"/>
    <w:sig w:usb0="E00002FF" w:usb1="4000201F" w:usb2="08000029" w:usb3="00000000" w:csb0="0000019F" w:csb1="00000000"/>
    <w:embedRegular r:id="rId4" w:fontKey="{97AB3376-AFEF-4C99-98D4-9252A167DA1C}"/>
    <w:embedBold r:id="rId5" w:fontKey="{37445ECD-02FC-443E-882B-96E9023FF90E}"/>
  </w:font>
  <w:font w:name="Cambria">
    <w:panose1 w:val="02040503050406030204"/>
    <w:charset w:val="EE"/>
    <w:family w:val="roman"/>
    <w:pitch w:val="variable"/>
    <w:sig w:usb0="E00006FF" w:usb1="420024FF" w:usb2="02000000" w:usb3="00000000" w:csb0="0000019F" w:csb1="00000000"/>
    <w:embedRegular r:id="rId6" w:fontKey="{B4C238A6-DC23-497F-91CF-1476008F9AD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E50" w:rsidRDefault="00AB7E5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E50" w:rsidRDefault="00DA450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sidR="008B29EE">
      <w:rPr>
        <w:color w:val="000000"/>
      </w:rPr>
      <w:fldChar w:fldCharType="separate"/>
    </w:r>
    <w:r w:rsidR="008B29EE">
      <w:rPr>
        <w:noProof/>
        <w:color w:val="000000"/>
      </w:rPr>
      <w:t>2</w:t>
    </w:r>
    <w:r>
      <w:rPr>
        <w:color w:val="000000"/>
      </w:rPr>
      <w:fldChar w:fldCharType="end"/>
    </w:r>
  </w:p>
  <w:p w:rsidR="00AB7E50" w:rsidRDefault="00AB7E50">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E50" w:rsidRDefault="00DA450E">
    <w:pPr>
      <w:tabs>
        <w:tab w:val="center" w:pos="4536"/>
        <w:tab w:val="right" w:pos="9072"/>
      </w:tabs>
      <w:spacing w:after="0" w:line="240" w:lineRule="auto"/>
      <w:jc w:val="both"/>
      <w:rPr>
        <w:color w:val="000000"/>
      </w:rPr>
    </w:pPr>
    <w:r>
      <w:rPr>
        <w:rFonts w:ascii="Noto Sans" w:eastAsia="Noto Sans" w:hAnsi="Noto Sans" w:cs="Noto Sans"/>
        <w:sz w:val="20"/>
        <w:szCs w:val="20"/>
      </w:rPr>
      <w:t>Aktivita probíhá v rámci projektu AIK ICP 26 na integraci cizinců financovaného MV ČR v rámci dotačního programu Adaptačně-integrační kurzy 2026 (Rozhodnutí č. 2/2026 AIK).</w:t>
    </w:r>
    <w:r>
      <w:rPr>
        <w:noProof/>
      </w:rPr>
      <w:drawing>
        <wp:anchor distT="0" distB="0" distL="114300" distR="114300" simplePos="0" relativeHeight="251661312" behindDoc="0" locked="0" layoutInCell="1" hidden="0" allowOverlap="1">
          <wp:simplePos x="0" y="0"/>
          <wp:positionH relativeFrom="column">
            <wp:posOffset>4802505</wp:posOffset>
          </wp:positionH>
          <wp:positionV relativeFrom="paragraph">
            <wp:posOffset>3175</wp:posOffset>
          </wp:positionV>
          <wp:extent cx="1054735" cy="581025"/>
          <wp:effectExtent l="0" t="0" r="0" b="0"/>
          <wp:wrapSquare wrapText="bothSides" distT="0" distB="0" distL="114300" distR="11430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54735" cy="5810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450E" w:rsidRDefault="00DA450E">
      <w:pPr>
        <w:spacing w:after="0" w:line="240" w:lineRule="auto"/>
      </w:pPr>
      <w:r>
        <w:separator/>
      </w:r>
    </w:p>
  </w:footnote>
  <w:footnote w:type="continuationSeparator" w:id="0">
    <w:p w:rsidR="00DA450E" w:rsidRDefault="00DA4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E50" w:rsidRDefault="00AB7E50">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E50" w:rsidRDefault="00AB7E50">
    <w:pPr>
      <w:pBdr>
        <w:top w:val="nil"/>
        <w:left w:val="nil"/>
        <w:bottom w:val="nil"/>
        <w:right w:val="nil"/>
        <w:between w:val="nil"/>
      </w:pBdr>
      <w:tabs>
        <w:tab w:val="center" w:pos="4536"/>
        <w:tab w:val="right" w:pos="9072"/>
      </w:tabs>
      <w:spacing w:after="0" w:line="240" w:lineRule="auto"/>
      <w:rPr>
        <w:color w:val="000000"/>
      </w:rPr>
    </w:pPr>
  </w:p>
  <w:p w:rsidR="00AB7E50" w:rsidRDefault="00AB7E50">
    <w:pPr>
      <w:pBdr>
        <w:top w:val="nil"/>
        <w:left w:val="nil"/>
        <w:bottom w:val="nil"/>
        <w:right w:val="nil"/>
        <w:between w:val="nil"/>
      </w:pBdr>
      <w:tabs>
        <w:tab w:val="center" w:pos="4536"/>
        <w:tab w:val="right" w:pos="9072"/>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E50" w:rsidRDefault="00892F03">
    <w:pPr>
      <w:pBdr>
        <w:top w:val="nil"/>
        <w:left w:val="nil"/>
        <w:bottom w:val="nil"/>
        <w:right w:val="nil"/>
        <w:between w:val="nil"/>
      </w:pBdr>
      <w:tabs>
        <w:tab w:val="center" w:pos="4536"/>
        <w:tab w:val="right" w:pos="9072"/>
      </w:tabs>
      <w:spacing w:after="0" w:line="240" w:lineRule="auto"/>
      <w:rPr>
        <w:color w:val="000000"/>
      </w:rPr>
    </w:pPr>
    <w:bookmarkStart w:id="2" w:name="_heading=h.lx06htrm0283" w:colFirst="0" w:colLast="0"/>
    <w:bookmarkStart w:id="3" w:name="_GoBack"/>
    <w:bookmarkEnd w:id="2"/>
    <w:r>
      <w:rPr>
        <w:noProof/>
      </w:rPr>
      <w:drawing>
        <wp:anchor distT="0" distB="0" distL="114300" distR="114300" simplePos="0" relativeHeight="251660288" behindDoc="0" locked="0" layoutInCell="1" hidden="0" allowOverlap="1">
          <wp:simplePos x="0" y="0"/>
          <wp:positionH relativeFrom="column">
            <wp:posOffset>4350385</wp:posOffset>
          </wp:positionH>
          <wp:positionV relativeFrom="paragraph">
            <wp:posOffset>-854075</wp:posOffset>
          </wp:positionV>
          <wp:extent cx="1624965" cy="933450"/>
          <wp:effectExtent l="0" t="0" r="0" b="0"/>
          <wp:wrapSquare wrapText="bothSides" distT="0" distB="0" distL="114300" distR="114300"/>
          <wp:docPr id="2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624965" cy="933450"/>
                  </a:xfrm>
                  <a:prstGeom prst="rect">
                    <a:avLst/>
                  </a:prstGeom>
                  <a:ln/>
                </pic:spPr>
              </pic:pic>
            </a:graphicData>
          </a:graphic>
          <wp14:sizeRelH relativeFrom="margin">
            <wp14:pctWidth>0</wp14:pctWidth>
          </wp14:sizeRelH>
        </wp:anchor>
      </w:drawing>
    </w:r>
    <w:bookmarkEnd w:id="3"/>
    <w:r w:rsidR="00DA450E">
      <w:rPr>
        <w:noProof/>
      </w:rPr>
      <w:drawing>
        <wp:anchor distT="114300" distB="114300" distL="114300" distR="114300" simplePos="0" relativeHeight="251658240" behindDoc="0" locked="0" layoutInCell="1" hidden="0" allowOverlap="1">
          <wp:simplePos x="0" y="0"/>
          <wp:positionH relativeFrom="margin">
            <wp:posOffset>1880235</wp:posOffset>
          </wp:positionH>
          <wp:positionV relativeFrom="page">
            <wp:posOffset>175895</wp:posOffset>
          </wp:positionV>
          <wp:extent cx="1663065" cy="1114425"/>
          <wp:effectExtent l="0" t="0" r="0" b="0"/>
          <wp:wrapSquare wrapText="bothSides" distT="114300" distB="114300" distL="114300" distR="11430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t="16018" b="16988"/>
                  <a:stretch>
                    <a:fillRect/>
                  </a:stretch>
                </pic:blipFill>
                <pic:spPr>
                  <a:xfrm>
                    <a:off x="0" y="0"/>
                    <a:ext cx="1663065" cy="1114425"/>
                  </a:xfrm>
                  <a:prstGeom prst="rect">
                    <a:avLst/>
                  </a:prstGeom>
                  <a:ln/>
                </pic:spPr>
              </pic:pic>
            </a:graphicData>
          </a:graphic>
        </wp:anchor>
      </w:drawing>
    </w:r>
    <w:r w:rsidR="00DA450E">
      <w:rPr>
        <w:noProof/>
      </w:rPr>
      <w:drawing>
        <wp:anchor distT="0" distB="0" distL="114300" distR="114300" simplePos="0" relativeHeight="251659264" behindDoc="0" locked="0" layoutInCell="1" hidden="0" allowOverlap="1">
          <wp:simplePos x="0" y="0"/>
          <wp:positionH relativeFrom="column">
            <wp:posOffset>-329563</wp:posOffset>
          </wp:positionH>
          <wp:positionV relativeFrom="paragraph">
            <wp:posOffset>-724533</wp:posOffset>
          </wp:positionV>
          <wp:extent cx="1470025" cy="668655"/>
          <wp:effectExtent l="0" t="0" r="0" b="0"/>
          <wp:wrapSquare wrapText="bothSides" distT="0" distB="0" distL="114300" distR="11430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470025" cy="6686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B2EA6"/>
    <w:multiLevelType w:val="multilevel"/>
    <w:tmpl w:val="951844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B06B50"/>
    <w:multiLevelType w:val="multilevel"/>
    <w:tmpl w:val="48DE0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9F292E"/>
    <w:multiLevelType w:val="multilevel"/>
    <w:tmpl w:val="F23EE3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BC3307"/>
    <w:multiLevelType w:val="multilevel"/>
    <w:tmpl w:val="7F1AA4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DF655E"/>
    <w:multiLevelType w:val="multilevel"/>
    <w:tmpl w:val="278690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A2463CF"/>
    <w:multiLevelType w:val="multilevel"/>
    <w:tmpl w:val="9F26E80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B1C0070"/>
    <w:multiLevelType w:val="multilevel"/>
    <w:tmpl w:val="FBC426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CA26AD"/>
    <w:multiLevelType w:val="multilevel"/>
    <w:tmpl w:val="0848E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6FB014F"/>
    <w:multiLevelType w:val="multilevel"/>
    <w:tmpl w:val="9F645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F8E7A93"/>
    <w:multiLevelType w:val="multilevel"/>
    <w:tmpl w:val="70166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0E77CB"/>
    <w:multiLevelType w:val="multilevel"/>
    <w:tmpl w:val="EFCCEF6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16752C9"/>
    <w:multiLevelType w:val="multilevel"/>
    <w:tmpl w:val="3ADA2B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C6A50C0"/>
    <w:multiLevelType w:val="multilevel"/>
    <w:tmpl w:val="51BCE8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7"/>
  </w:num>
  <w:num w:numId="3">
    <w:abstractNumId w:val="0"/>
  </w:num>
  <w:num w:numId="4">
    <w:abstractNumId w:val="3"/>
  </w:num>
  <w:num w:numId="5">
    <w:abstractNumId w:val="9"/>
  </w:num>
  <w:num w:numId="6">
    <w:abstractNumId w:val="8"/>
  </w:num>
  <w:num w:numId="7">
    <w:abstractNumId w:val="4"/>
  </w:num>
  <w:num w:numId="8">
    <w:abstractNumId w:val="1"/>
  </w:num>
  <w:num w:numId="9">
    <w:abstractNumId w:val="10"/>
  </w:num>
  <w:num w:numId="10">
    <w:abstractNumId w:val="2"/>
  </w:num>
  <w:num w:numId="11">
    <w:abstractNumId w:val="12"/>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E50"/>
    <w:rsid w:val="00892F03"/>
    <w:rsid w:val="008B29EE"/>
    <w:rsid w:val="00AB7E50"/>
    <w:rsid w:val="00DA450E"/>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B5FA25-D8DC-47EE-AABE-181220A02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s"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240" w:after="0"/>
      <w:outlineLvl w:val="0"/>
    </w:pPr>
    <w:rPr>
      <w:color w:val="2F5496"/>
      <w:sz w:val="32"/>
      <w:szCs w:val="32"/>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Zhlav">
    <w:name w:val="header"/>
    <w:link w:val="ZhlavChar"/>
    <w:uiPriority w:val="99"/>
    <w:unhideWhenUsed/>
    <w:rsid w:val="005D016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D0161"/>
  </w:style>
  <w:style w:type="paragraph" w:styleId="Zpat">
    <w:name w:val="footer"/>
    <w:link w:val="ZpatChar"/>
    <w:uiPriority w:val="99"/>
    <w:unhideWhenUsed/>
    <w:rsid w:val="005D0161"/>
    <w:pPr>
      <w:tabs>
        <w:tab w:val="center" w:pos="4536"/>
        <w:tab w:val="right" w:pos="9072"/>
      </w:tabs>
      <w:spacing w:after="0" w:line="240" w:lineRule="auto"/>
    </w:pPr>
  </w:style>
  <w:style w:type="character" w:customStyle="1" w:styleId="ZpatChar">
    <w:name w:val="Zápatí Char"/>
    <w:basedOn w:val="Standardnpsmoodstavce"/>
    <w:link w:val="Zpat"/>
    <w:uiPriority w:val="99"/>
    <w:rsid w:val="005D0161"/>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icpraha.com/ke-stazeni"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6e8ntA+02RvQ+syFb1DQgcJAA==">CgMxLjAyCGguZ2pkZ3hzMg5oLmZyeHc4cmdhZmpkYzIOaC5seDA2aHRybTAyODM4AHIhMVRXZ0R3M2pybXRTQVJMdlBYQU9sQmFZc3ZzT0N2RGFs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D543046-288F-416F-AFC0-503CC3E26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1790</Words>
  <Characters>10564</Characters>
  <Application>Microsoft Office Word</Application>
  <DocSecurity>0</DocSecurity>
  <Lines>88</Lines>
  <Paragraphs>24</Paragraphs>
  <ScaleCrop>false</ScaleCrop>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ICP User</dc:creator>
  <cp:lastModifiedBy>ICP User</cp:lastModifiedBy>
  <cp:revision>3</cp:revision>
  <dcterms:created xsi:type="dcterms:W3CDTF">2026-05-19T19:12:00Z</dcterms:created>
  <dcterms:modified xsi:type="dcterms:W3CDTF">2026-05-19T19:12:00Z</dcterms:modified>
</cp:coreProperties>
</file>