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D6CC6" w:rsidRDefault="00BD6C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02" w14:textId="77777777" w:rsidR="00BD6CC6" w:rsidRDefault="00561C6E">
      <w:pPr>
        <w:spacing w:after="0" w:line="240" w:lineRule="auto"/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b/>
          <w:color w:val="000000"/>
          <w:sz w:val="32"/>
          <w:szCs w:val="32"/>
        </w:rPr>
        <w:t>Rámcová smlouva o poskytování služeb na objednávku </w:t>
      </w:r>
    </w:p>
    <w:p w14:paraId="00000003" w14:textId="77777777" w:rsidR="00BD6CC6" w:rsidRDefault="00561C6E">
      <w:pPr>
        <w:pBdr>
          <w:bottom w:val="single" w:sz="12" w:space="0" w:color="00000A"/>
        </w:pBdr>
        <w:spacing w:after="200" w:line="240" w:lineRule="auto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uzavřená v souladu s </w:t>
      </w:r>
      <w:proofErr w:type="spellStart"/>
      <w:r>
        <w:rPr>
          <w:rFonts w:ascii="Open Sans" w:eastAsia="Open Sans" w:hAnsi="Open Sans" w:cs="Open Sans"/>
          <w:i/>
          <w:color w:val="000000"/>
          <w:sz w:val="20"/>
          <w:szCs w:val="20"/>
        </w:rPr>
        <w:t>ust</w:t>
      </w:r>
      <w:proofErr w:type="spellEnd"/>
      <w:r>
        <w:rPr>
          <w:rFonts w:ascii="Open Sans" w:eastAsia="Open Sans" w:hAnsi="Open Sans" w:cs="Open Sans"/>
          <w:i/>
          <w:color w:val="000000"/>
          <w:sz w:val="20"/>
          <w:szCs w:val="20"/>
        </w:rPr>
        <w:t>. § 1746 odst. 2 zákona č. 89/2012 Sb., občanský zákoník, v platném znění</w:t>
      </w:r>
    </w:p>
    <w:p w14:paraId="00000004" w14:textId="77777777" w:rsidR="00BD6CC6" w:rsidRDefault="00BD6CC6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05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Integrační centrum Praha, o.p.s.</w:t>
      </w:r>
    </w:p>
    <w:p w14:paraId="00000006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IČO: 242 28 320</w:t>
      </w:r>
    </w:p>
    <w:p w14:paraId="00000007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sídlem: Žitná 1574/51, 110 00 Praha 1</w:t>
      </w:r>
    </w:p>
    <w:p w14:paraId="00000008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e-mail pro komunikaci: aik@icpraha.com</w:t>
      </w:r>
    </w:p>
    <w:p w14:paraId="00000009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telefonní číslo pro komunikaci: 253 253 984</w:t>
      </w:r>
    </w:p>
    <w:p w14:paraId="0000000A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číslo bankovního účtu: 2901931530/2010</w:t>
      </w:r>
    </w:p>
    <w:p w14:paraId="0000000B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zastoupená Bc. Zdeňkem Horváthem, ředitelem</w:t>
      </w:r>
    </w:p>
    <w:p w14:paraId="0000000C" w14:textId="77777777" w:rsidR="00BD6CC6" w:rsidRDefault="00BD6CC6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0D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dále jen jako „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ICP</w:t>
      </w:r>
      <w:r>
        <w:rPr>
          <w:rFonts w:ascii="Open Sans" w:eastAsia="Open Sans" w:hAnsi="Open Sans" w:cs="Open Sans"/>
          <w:color w:val="000000"/>
          <w:sz w:val="24"/>
          <w:szCs w:val="24"/>
        </w:rPr>
        <w:t>“ na straně jedné</w:t>
      </w:r>
    </w:p>
    <w:p w14:paraId="0000000E" w14:textId="77777777" w:rsidR="00BD6CC6" w:rsidRDefault="00BD6CC6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0F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a</w:t>
      </w:r>
    </w:p>
    <w:p w14:paraId="00000010" w14:textId="77777777" w:rsidR="00BD6CC6" w:rsidRDefault="00BD6CC6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11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[</w:t>
      </w:r>
      <w:r>
        <w:rPr>
          <w:rFonts w:ascii="Open Sans" w:eastAsia="Open Sans" w:hAnsi="Open Sans" w:cs="Open Sans"/>
          <w:b/>
          <w:color w:val="000000"/>
          <w:sz w:val="24"/>
          <w:szCs w:val="24"/>
          <w:highlight w:val="yellow"/>
        </w:rPr>
        <w:t>doplnit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]</w:t>
      </w:r>
    </w:p>
    <w:p w14:paraId="00000012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IČO: [</w:t>
      </w:r>
      <w:r>
        <w:rPr>
          <w:rFonts w:ascii="Open Sans" w:eastAsia="Open Sans" w:hAnsi="Open Sans" w:cs="Open Sans"/>
          <w:color w:val="000000"/>
          <w:sz w:val="24"/>
          <w:szCs w:val="24"/>
          <w:highlight w:val="yellow"/>
        </w:rPr>
        <w:t>doplnit</w:t>
      </w:r>
      <w:r>
        <w:rPr>
          <w:rFonts w:ascii="Open Sans" w:eastAsia="Open Sans" w:hAnsi="Open Sans" w:cs="Open Sans"/>
          <w:color w:val="000000"/>
          <w:sz w:val="24"/>
          <w:szCs w:val="24"/>
        </w:rPr>
        <w:t>]</w:t>
      </w:r>
    </w:p>
    <w:p w14:paraId="00000013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sídlem/bytem: [</w:t>
      </w:r>
      <w:r>
        <w:rPr>
          <w:rFonts w:ascii="Open Sans" w:eastAsia="Open Sans" w:hAnsi="Open Sans" w:cs="Open Sans"/>
          <w:color w:val="000000"/>
          <w:sz w:val="24"/>
          <w:szCs w:val="24"/>
          <w:highlight w:val="yellow"/>
        </w:rPr>
        <w:t>doplnit</w:t>
      </w:r>
      <w:r>
        <w:rPr>
          <w:rFonts w:ascii="Open Sans" w:eastAsia="Open Sans" w:hAnsi="Open Sans" w:cs="Open Sans"/>
          <w:color w:val="000000"/>
          <w:sz w:val="24"/>
          <w:szCs w:val="24"/>
        </w:rPr>
        <w:t>]</w:t>
      </w:r>
    </w:p>
    <w:p w14:paraId="00000014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e-mail pro komunikaci: [</w:t>
      </w:r>
      <w:r>
        <w:rPr>
          <w:rFonts w:ascii="Open Sans" w:eastAsia="Open Sans" w:hAnsi="Open Sans" w:cs="Open Sans"/>
          <w:color w:val="000000"/>
          <w:sz w:val="24"/>
          <w:szCs w:val="24"/>
          <w:highlight w:val="yellow"/>
        </w:rPr>
        <w:t>doplnit</w:t>
      </w:r>
      <w:r>
        <w:rPr>
          <w:rFonts w:ascii="Open Sans" w:eastAsia="Open Sans" w:hAnsi="Open Sans" w:cs="Open Sans"/>
          <w:color w:val="000000"/>
          <w:sz w:val="24"/>
          <w:szCs w:val="24"/>
        </w:rPr>
        <w:t>]</w:t>
      </w:r>
    </w:p>
    <w:p w14:paraId="00000015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telefonní číslo pro komunikaci: [</w:t>
      </w:r>
      <w:r>
        <w:rPr>
          <w:rFonts w:ascii="Open Sans" w:eastAsia="Open Sans" w:hAnsi="Open Sans" w:cs="Open Sans"/>
          <w:color w:val="000000"/>
          <w:sz w:val="24"/>
          <w:szCs w:val="24"/>
          <w:highlight w:val="yellow"/>
        </w:rPr>
        <w:t>doplnit</w:t>
      </w:r>
      <w:r>
        <w:rPr>
          <w:rFonts w:ascii="Open Sans" w:eastAsia="Open Sans" w:hAnsi="Open Sans" w:cs="Open Sans"/>
          <w:color w:val="000000"/>
          <w:sz w:val="24"/>
          <w:szCs w:val="24"/>
        </w:rPr>
        <w:t>]</w:t>
      </w:r>
    </w:p>
    <w:p w14:paraId="00000016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číslo bankovního účtu: [</w:t>
      </w:r>
      <w:r>
        <w:rPr>
          <w:rFonts w:ascii="Open Sans" w:eastAsia="Open Sans" w:hAnsi="Open Sans" w:cs="Open Sans"/>
          <w:color w:val="000000"/>
          <w:sz w:val="24"/>
          <w:szCs w:val="24"/>
          <w:highlight w:val="yellow"/>
        </w:rPr>
        <w:t>doplnit</w:t>
      </w:r>
      <w:r>
        <w:rPr>
          <w:rFonts w:ascii="Open Sans" w:eastAsia="Open Sans" w:hAnsi="Open Sans" w:cs="Open Sans"/>
          <w:color w:val="000000"/>
          <w:sz w:val="24"/>
          <w:szCs w:val="24"/>
        </w:rPr>
        <w:t>]</w:t>
      </w:r>
    </w:p>
    <w:p w14:paraId="00000017" w14:textId="77777777" w:rsidR="00BD6CC6" w:rsidRDefault="00BD6CC6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18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dále jen jako „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Lektor</w:t>
      </w:r>
      <w:r>
        <w:rPr>
          <w:rFonts w:ascii="Open Sans" w:eastAsia="Open Sans" w:hAnsi="Open Sans" w:cs="Open Sans"/>
          <w:color w:val="000000"/>
          <w:sz w:val="24"/>
          <w:szCs w:val="24"/>
        </w:rPr>
        <w:t>“ na straně druhé,</w:t>
      </w:r>
    </w:p>
    <w:p w14:paraId="00000019" w14:textId="77777777" w:rsidR="00BD6CC6" w:rsidRDefault="00BD6CC6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1A" w14:textId="77777777" w:rsidR="00BD6CC6" w:rsidRDefault="00561C6E">
      <w:pPr>
        <w:spacing w:after="20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ICP a Lektor dále společně také jako „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Strany</w:t>
      </w:r>
      <w:r>
        <w:rPr>
          <w:rFonts w:ascii="Open Sans" w:eastAsia="Open Sans" w:hAnsi="Open Sans" w:cs="Open Sans"/>
          <w:color w:val="000000"/>
          <w:sz w:val="24"/>
          <w:szCs w:val="24"/>
        </w:rPr>
        <w:t>“ či „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Smluvní strany</w:t>
      </w:r>
      <w:r>
        <w:rPr>
          <w:rFonts w:ascii="Open Sans" w:eastAsia="Open Sans" w:hAnsi="Open Sans" w:cs="Open Sans"/>
          <w:color w:val="000000"/>
          <w:sz w:val="24"/>
          <w:szCs w:val="24"/>
        </w:rPr>
        <w:t>“ podle ustanovení § 1746 odst. 2 zákona č. 89/2012 Sb., občanský zákoník, v platném znění (dále jen jako „</w:t>
      </w:r>
      <w:proofErr w:type="spellStart"/>
      <w:r>
        <w:rPr>
          <w:rFonts w:ascii="Open Sans" w:eastAsia="Open Sans" w:hAnsi="Open Sans" w:cs="Open Sans"/>
          <w:b/>
          <w:color w:val="000000"/>
          <w:sz w:val="24"/>
          <w:szCs w:val="24"/>
        </w:rPr>
        <w:t>ObčZ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>“) níže uvedeného dne, měsíce a roku uzavírají tuto</w:t>
      </w:r>
    </w:p>
    <w:p w14:paraId="0000001B" w14:textId="77777777" w:rsidR="00BD6CC6" w:rsidRDefault="00561C6E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Rámcovou smlouvu o poskytování služeb na objednávku</w:t>
      </w:r>
    </w:p>
    <w:p w14:paraId="0000001C" w14:textId="77777777" w:rsidR="00BD6CC6" w:rsidRDefault="00561C6E">
      <w:pPr>
        <w:spacing w:after="20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(dále jen „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rámcová smlouva</w:t>
      </w:r>
      <w:r>
        <w:rPr>
          <w:rFonts w:ascii="Open Sans" w:eastAsia="Open Sans" w:hAnsi="Open Sans" w:cs="Open Sans"/>
          <w:color w:val="000000"/>
          <w:sz w:val="24"/>
          <w:szCs w:val="24"/>
        </w:rPr>
        <w:t>“)</w:t>
      </w:r>
    </w:p>
    <w:p w14:paraId="0000001D" w14:textId="77777777" w:rsidR="00BD6CC6" w:rsidRDefault="00BD6CC6">
      <w:pPr>
        <w:spacing w:after="0" w:line="240" w:lineRule="auto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0000001E" w14:textId="77777777" w:rsidR="00BD6CC6" w:rsidRDefault="00BD6CC6">
      <w:pPr>
        <w:spacing w:after="0" w:line="240" w:lineRule="auto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0000001F" w14:textId="77777777" w:rsidR="00BD6CC6" w:rsidRDefault="00BD6CC6">
      <w:pPr>
        <w:spacing w:after="0" w:line="240" w:lineRule="auto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00000020" w14:textId="77777777" w:rsidR="00BD6CC6" w:rsidRDefault="00BD6CC6">
      <w:pPr>
        <w:spacing w:after="0" w:line="240" w:lineRule="auto"/>
        <w:ind w:left="3600"/>
        <w:jc w:val="center"/>
        <w:rPr>
          <w:rFonts w:ascii="Open Sans" w:eastAsia="Open Sans" w:hAnsi="Open Sans" w:cs="Open Sans"/>
          <w:sz w:val="24"/>
          <w:szCs w:val="24"/>
        </w:rPr>
      </w:pPr>
      <w:bookmarkStart w:id="0" w:name="_heading=h.gjdgxs" w:colFirst="0" w:colLast="0"/>
      <w:bookmarkEnd w:id="0"/>
    </w:p>
    <w:p w14:paraId="00000021" w14:textId="77777777" w:rsidR="00BD6CC6" w:rsidRDefault="00561C6E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lastRenderedPageBreak/>
        <w:t>Článek 1</w:t>
      </w:r>
    </w:p>
    <w:p w14:paraId="00000022" w14:textId="77777777" w:rsidR="00BD6CC6" w:rsidRDefault="00561C6E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Preambule</w:t>
      </w:r>
    </w:p>
    <w:p w14:paraId="00000023" w14:textId="77777777" w:rsidR="00BD6CC6" w:rsidRDefault="00BD6CC6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24" w14:textId="77777777" w:rsidR="00BD6CC6" w:rsidRDefault="00561C6E">
      <w:pPr>
        <w:numPr>
          <w:ilvl w:val="0"/>
          <w:numId w:val="7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ICP je obecně prospěšnou společností, která provozuje v souladu s § </w:t>
      </w:r>
      <w:proofErr w:type="gramStart"/>
      <w:r>
        <w:rPr>
          <w:rFonts w:ascii="Open Sans" w:eastAsia="Open Sans" w:hAnsi="Open Sans" w:cs="Open Sans"/>
          <w:color w:val="000000"/>
          <w:sz w:val="24"/>
          <w:szCs w:val="24"/>
        </w:rPr>
        <w:t>155a</w:t>
      </w:r>
      <w:proofErr w:type="gram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zákona č. 326/1999 Sb. (dále jen „</w:t>
      </w:r>
      <w:proofErr w:type="spellStart"/>
      <w:r>
        <w:rPr>
          <w:rFonts w:ascii="Open Sans" w:eastAsia="Open Sans" w:hAnsi="Open Sans" w:cs="Open Sans"/>
          <w:b/>
          <w:color w:val="000000"/>
          <w:sz w:val="24"/>
          <w:szCs w:val="24"/>
        </w:rPr>
        <w:t>ZoPC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“) centrum na podporu integrace cizinců. ICP dále v souladu s § </w:t>
      </w:r>
      <w:proofErr w:type="gramStart"/>
      <w:r>
        <w:rPr>
          <w:rFonts w:ascii="Open Sans" w:eastAsia="Open Sans" w:hAnsi="Open Sans" w:cs="Open Sans"/>
          <w:color w:val="000000"/>
          <w:sz w:val="24"/>
          <w:szCs w:val="24"/>
        </w:rPr>
        <w:t>155b</w:t>
      </w:r>
      <w:proofErr w:type="gram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ZoPC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zabezpečuje v roce 202</w:t>
      </w:r>
      <w:r>
        <w:rPr>
          <w:rFonts w:ascii="Open Sans" w:eastAsia="Open Sans" w:hAnsi="Open Sans" w:cs="Open Sans"/>
          <w:sz w:val="24"/>
          <w:szCs w:val="24"/>
        </w:rPr>
        <w:t>2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realizaci adaptačně-integračních kurzů (dále jen „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AIK</w:t>
      </w:r>
      <w:r>
        <w:rPr>
          <w:rFonts w:ascii="Open Sans" w:eastAsia="Open Sans" w:hAnsi="Open Sans" w:cs="Open Sans"/>
          <w:color w:val="000000"/>
          <w:sz w:val="24"/>
          <w:szCs w:val="24"/>
        </w:rPr>
        <w:t>“), a to na základě projektu AIK ICP 21, který je financován v rámci dotačního programu Adaptačně-integrační kurzy 2021 ze strany Ministerstva vnitra ČR (dále jen „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Projekt</w:t>
      </w:r>
      <w:r>
        <w:rPr>
          <w:rFonts w:ascii="Open Sans" w:eastAsia="Open Sans" w:hAnsi="Open Sans" w:cs="Open Sans"/>
          <w:color w:val="000000"/>
          <w:sz w:val="24"/>
          <w:szCs w:val="24"/>
        </w:rPr>
        <w:t>“).</w:t>
      </w:r>
    </w:p>
    <w:p w14:paraId="00000025" w14:textId="77777777" w:rsidR="00BD6CC6" w:rsidRDefault="00561C6E">
      <w:pPr>
        <w:numPr>
          <w:ilvl w:val="0"/>
          <w:numId w:val="7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ICP zamýšlí v období od </w:t>
      </w:r>
      <w:r>
        <w:rPr>
          <w:rFonts w:ascii="Open Sans" w:eastAsia="Open Sans" w:hAnsi="Open Sans" w:cs="Open Sans"/>
          <w:sz w:val="24"/>
          <w:szCs w:val="24"/>
        </w:rPr>
        <w:t>dat</w:t>
      </w:r>
      <w:r>
        <w:rPr>
          <w:rFonts w:ascii="Open Sans" w:eastAsia="Open Sans" w:hAnsi="Open Sans" w:cs="Open Sans"/>
          <w:sz w:val="24"/>
          <w:szCs w:val="24"/>
        </w:rPr>
        <w:t>a podpisu smlouvy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do 31. 12. 202</w:t>
      </w:r>
      <w:r>
        <w:rPr>
          <w:rFonts w:ascii="Open Sans" w:eastAsia="Open Sans" w:hAnsi="Open Sans" w:cs="Open Sans"/>
          <w:sz w:val="24"/>
          <w:szCs w:val="24"/>
        </w:rPr>
        <w:t>2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(dále jen „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Doba plnění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“) v souvislosti s realizací Projektu využít služeb Lektora (tak jak jsou definovány v čl. 2 odst. 1 této rámcové smlouvy) jako osoby, která bude lektorovat adaptačně-integrační kurzy pořádané ICP, a </w:t>
      </w:r>
      <w:r>
        <w:rPr>
          <w:rFonts w:ascii="Open Sans" w:eastAsia="Open Sans" w:hAnsi="Open Sans" w:cs="Open Sans"/>
          <w:color w:val="000000"/>
          <w:sz w:val="24"/>
          <w:szCs w:val="24"/>
        </w:rPr>
        <w:t>platit mu za tyto služby odměnu v níže specifikované výši. Tato rámcová smlouva upravuje způsob, kterým budou služby Lektora objednávány, a podmínky poskytování těchto služeb Lektorem.</w:t>
      </w:r>
    </w:p>
    <w:p w14:paraId="00000026" w14:textId="77777777" w:rsidR="00BD6CC6" w:rsidRDefault="00561C6E">
      <w:pPr>
        <w:numPr>
          <w:ilvl w:val="0"/>
          <w:numId w:val="7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Lektor prohlašuje a podpisem této rámcové smlouvy stvrzuje, že je odbor</w:t>
      </w:r>
      <w:r>
        <w:rPr>
          <w:rFonts w:ascii="Open Sans" w:eastAsia="Open Sans" w:hAnsi="Open Sans" w:cs="Open Sans"/>
          <w:color w:val="000000"/>
          <w:sz w:val="24"/>
          <w:szCs w:val="24"/>
        </w:rPr>
        <w:t>ně způsobilou osobou, která složila zkoušku lektora, v souladu s § 16 a 17 vyhlášky Ministerstva vnitra ČR č. 520/2020 Sb., o provádění adaptačně-integračních kurzů (dále jen „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Vyhláška</w:t>
      </w:r>
      <w:r>
        <w:rPr>
          <w:rFonts w:ascii="Open Sans" w:eastAsia="Open Sans" w:hAnsi="Open Sans" w:cs="Open Sans"/>
          <w:color w:val="000000"/>
          <w:sz w:val="24"/>
          <w:szCs w:val="24"/>
        </w:rPr>
        <w:t>“). </w:t>
      </w:r>
    </w:p>
    <w:p w14:paraId="00000027" w14:textId="77777777" w:rsidR="00BD6CC6" w:rsidRDefault="00561C6E">
      <w:pPr>
        <w:numPr>
          <w:ilvl w:val="0"/>
          <w:numId w:val="7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V tomto materiálu se užívají některé pojmy jen v mužském rodě, cíle</w:t>
      </w:r>
      <w:r>
        <w:rPr>
          <w:rFonts w:ascii="Open Sans" w:eastAsia="Open Sans" w:hAnsi="Open Sans" w:cs="Open Sans"/>
          <w:color w:val="000000"/>
          <w:sz w:val="24"/>
          <w:szCs w:val="24"/>
        </w:rPr>
        <w:t>m je zjednodušení textu a není tím míněno, že by se pojmy případně netýkaly i osob všech ostatních pohlaví.</w:t>
      </w:r>
    </w:p>
    <w:p w14:paraId="00000028" w14:textId="77777777" w:rsidR="00BD6CC6" w:rsidRDefault="00BD6CC6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29" w14:textId="77777777" w:rsidR="00BD6CC6" w:rsidRDefault="00561C6E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Článek 2</w:t>
      </w:r>
    </w:p>
    <w:p w14:paraId="0000002A" w14:textId="77777777" w:rsidR="00BD6CC6" w:rsidRDefault="00561C6E">
      <w:pPr>
        <w:spacing w:after="20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Předmět Smlouvy</w:t>
      </w:r>
    </w:p>
    <w:p w14:paraId="0000002B" w14:textId="77777777" w:rsidR="00BD6CC6" w:rsidRDefault="00561C6E">
      <w:pPr>
        <w:numPr>
          <w:ilvl w:val="0"/>
          <w:numId w:val="3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Službami lektora adaptačně-integračních kurzů se rozumí lektorování adaptačně-integračních kurzů, jejichž obsahová náplň j</w:t>
      </w:r>
      <w:r>
        <w:rPr>
          <w:rFonts w:ascii="Open Sans" w:eastAsia="Open Sans" w:hAnsi="Open Sans" w:cs="Open Sans"/>
          <w:color w:val="000000"/>
          <w:sz w:val="24"/>
          <w:szCs w:val="24"/>
        </w:rPr>
        <w:t>e definována v § 12 Vyhlášky a rozsah v § 13 Vyhlášky (dále jen „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Služby</w:t>
      </w:r>
      <w:r>
        <w:rPr>
          <w:rFonts w:ascii="Open Sans" w:eastAsia="Open Sans" w:hAnsi="Open Sans" w:cs="Open Sans"/>
          <w:color w:val="000000"/>
          <w:sz w:val="24"/>
          <w:szCs w:val="24"/>
        </w:rPr>
        <w:t>“).</w:t>
      </w:r>
    </w:p>
    <w:p w14:paraId="0000002C" w14:textId="77777777" w:rsidR="00BD6CC6" w:rsidRDefault="00561C6E">
      <w:pPr>
        <w:numPr>
          <w:ilvl w:val="0"/>
          <w:numId w:val="3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Pokud se Strany nedohodnou písemně jinak, bude plnění Služeb na základě této rámcové smlouvy probíhat na základě dílčích objednávek ICP, způsobem, který stanoví metodický pokyn „Obj</w:t>
      </w:r>
      <w:r>
        <w:rPr>
          <w:rFonts w:ascii="Open Sans" w:eastAsia="Open Sans" w:hAnsi="Open Sans" w:cs="Open Sans"/>
          <w:color w:val="000000"/>
          <w:sz w:val="24"/>
          <w:szCs w:val="24"/>
        </w:rPr>
        <w:t>ednávání a fakturace služeb lektorů a tlumočníků pro AIK“ (Příloha č. 1). </w:t>
      </w:r>
    </w:p>
    <w:p w14:paraId="0000002D" w14:textId="77777777" w:rsidR="00BD6CC6" w:rsidRDefault="00561C6E">
      <w:pPr>
        <w:numPr>
          <w:ilvl w:val="0"/>
          <w:numId w:val="3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Lektor se zavazuje poskytovat Služby v souladu s právními předpisy, “Etickým kodexem pro lektory a tlumočníky adaptačně-integračních kurzů” (Příloha č. 2, dále jen “Etický kodex”) a dalšími pokyny ICP, pokyny pracovníků Odboru azylové a migrační politiky M</w:t>
      </w:r>
      <w:r>
        <w:rPr>
          <w:rFonts w:ascii="Open Sans" w:eastAsia="Open Sans" w:hAnsi="Open Sans" w:cs="Open Sans"/>
          <w:color w:val="000000"/>
          <w:sz w:val="24"/>
          <w:szCs w:val="24"/>
        </w:rPr>
        <w:t>inisterstva vnitra ČR (dále jen „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OAMP MV ČR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“), a případně dalšími pokyny, se kterými byl Lektor ze strany ICP seznámen. Lektor </w:t>
      </w:r>
      <w:r>
        <w:rPr>
          <w:rFonts w:ascii="Open Sans" w:eastAsia="Open Sans" w:hAnsi="Open Sans" w:cs="Open Sans"/>
          <w:color w:val="000000"/>
          <w:sz w:val="24"/>
          <w:szCs w:val="24"/>
        </w:rPr>
        <w:lastRenderedPageBreak/>
        <w:t>se dále zavazuje, že bude v průběhu kurzu poskytovat informace v souladu s Metodickými pravidly lektorů a lektorek adaptačně-inte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gračních kurzů Vítejte v České republice a právní úpravou obsahu AIK v § </w:t>
      </w:r>
      <w:proofErr w:type="gramStart"/>
      <w:r>
        <w:rPr>
          <w:rFonts w:ascii="Open Sans" w:eastAsia="Open Sans" w:hAnsi="Open Sans" w:cs="Open Sans"/>
          <w:color w:val="000000"/>
          <w:sz w:val="24"/>
          <w:szCs w:val="24"/>
        </w:rPr>
        <w:t>155</w:t>
      </w:r>
      <w:r>
        <w:rPr>
          <w:rFonts w:ascii="Open Sans" w:eastAsia="Open Sans" w:hAnsi="Open Sans" w:cs="Open Sans"/>
          <w:sz w:val="24"/>
          <w:szCs w:val="24"/>
        </w:rPr>
        <w:t>b</w:t>
      </w:r>
      <w:proofErr w:type="gram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odst. 1 zákona č. 326/1999 Sb., o pobytu cizinců na území České republiky a o změně některých zákonů, a v § 12 Vyhlášky.</w:t>
      </w:r>
    </w:p>
    <w:p w14:paraId="0000002E" w14:textId="77777777" w:rsidR="00BD6CC6" w:rsidRDefault="00561C6E">
      <w:pPr>
        <w:numPr>
          <w:ilvl w:val="0"/>
          <w:numId w:val="3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Etický kodex a další závazné pokyny ICP, jimiž je Lektor 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povinen se řídit, tvoří nedílnou součást této rámcové smlouvy a budou po celou dobu trvání této rámcové smlouvy dostupné na webové adrese 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https://icpraha.com/ke-stazeni</w:t>
      </w:r>
      <w:r>
        <w:rPr>
          <w:rFonts w:ascii="Open Sans" w:eastAsia="Open Sans" w:hAnsi="Open Sans" w:cs="Open Sans"/>
          <w:color w:val="000000"/>
          <w:sz w:val="24"/>
          <w:szCs w:val="24"/>
        </w:rPr>
        <w:t>. Lektor podpisem této rámcové smlouvy stvrzuje, že s nimi byl před uzavřením smlouvy řá</w:t>
      </w:r>
      <w:r>
        <w:rPr>
          <w:rFonts w:ascii="Open Sans" w:eastAsia="Open Sans" w:hAnsi="Open Sans" w:cs="Open Sans"/>
          <w:color w:val="000000"/>
          <w:sz w:val="24"/>
          <w:szCs w:val="24"/>
        </w:rPr>
        <w:t>dně seznámen.</w:t>
      </w:r>
    </w:p>
    <w:p w14:paraId="0000002F" w14:textId="77777777" w:rsidR="00BD6CC6" w:rsidRDefault="00561C6E">
      <w:pPr>
        <w:numPr>
          <w:ilvl w:val="0"/>
          <w:numId w:val="3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Pověření pracovníci ICP, kterými jsou osoby zaměstnané v ICP, pracovníci Ministerstva vnitra ČR či jimi pověřené osoby jsou oprávněny účastnit se AIK lektorovaných Lektorem za účelem kontroly jejich průběhu a kvality poskytovaných Služeb. </w:t>
      </w:r>
    </w:p>
    <w:p w14:paraId="00000030" w14:textId="77777777" w:rsidR="00BD6CC6" w:rsidRDefault="00BD6CC6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31" w14:textId="77777777" w:rsidR="00BD6CC6" w:rsidRDefault="00561C6E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Č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>lánek 3</w:t>
      </w:r>
    </w:p>
    <w:p w14:paraId="00000032" w14:textId="77777777" w:rsidR="00BD6CC6" w:rsidRDefault="00561C6E">
      <w:pPr>
        <w:spacing w:after="20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Odměna Lektora</w:t>
      </w:r>
    </w:p>
    <w:p w14:paraId="00000033" w14:textId="77777777" w:rsidR="00BD6CC6" w:rsidRDefault="00561C6E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Za lektorování AIK se sjednává hodinová odměna ve výši 700 Kč (slovy: sedm set korun českých). Vzhledem k časovému rozsahu stanovenému v § 13 Vyhlášky nepřekročí celková odměna Lektora za lektorování jednoho AIK 2800 Kč (slovy: dva t</w:t>
      </w:r>
      <w:r>
        <w:rPr>
          <w:rFonts w:ascii="Open Sans" w:eastAsia="Open Sans" w:hAnsi="Open Sans" w:cs="Open Sans"/>
          <w:color w:val="000000"/>
          <w:sz w:val="24"/>
          <w:szCs w:val="24"/>
        </w:rPr>
        <w:t>isíce osm set korun českých).</w:t>
      </w:r>
    </w:p>
    <w:p w14:paraId="00000034" w14:textId="77777777" w:rsidR="00BD6CC6" w:rsidRDefault="00561C6E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Odměna bude Lektorovi vyplacena na základě jím předložené faktury, která bude obsahovat náležitosti uvedené níže v čl. 8 odst. 2 a 3 této rámcové smlouvy.</w:t>
      </w:r>
    </w:p>
    <w:p w14:paraId="00000035" w14:textId="77777777" w:rsidR="00BD6CC6" w:rsidRDefault="00561C6E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Faktura bude Lektorem vystavena vždy nejpozději do 15. kalendářního dne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měsíce následujícího po měsíci, v němž byl Lektorem lektorován AIK, za nějž odměna přísluší. Pokud bylo v příslušném kalendářním měsíci Lektorem lektorováno více AIK, vystaví Lektor pouze jednu fakturu za všechny realizované kurzy. </w:t>
      </w:r>
    </w:p>
    <w:p w14:paraId="00000036" w14:textId="77777777" w:rsidR="00BD6CC6" w:rsidRDefault="00561C6E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Článek 4</w:t>
      </w:r>
    </w:p>
    <w:p w14:paraId="00000037" w14:textId="77777777" w:rsidR="00BD6CC6" w:rsidRDefault="00561C6E">
      <w:pPr>
        <w:spacing w:after="20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Zrušení naplánovaného adaptačně-integračního kurzu ze strany ICP</w:t>
      </w:r>
    </w:p>
    <w:p w14:paraId="00000038" w14:textId="77777777" w:rsidR="00BD6CC6" w:rsidRDefault="00561C6E">
      <w:pPr>
        <w:numPr>
          <w:ilvl w:val="0"/>
          <w:numId w:val="8"/>
        </w:numPr>
        <w:spacing w:after="20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ICP má povinnost bez zbytečného odkladu informovat Lektora o skutečnosti, že AIK, který měl Lektor lektorovat, musel být zrušen z důvodu dříve nepředvídaných událostí.</w:t>
      </w:r>
    </w:p>
    <w:p w14:paraId="00000039" w14:textId="77777777" w:rsidR="00BD6CC6" w:rsidRDefault="00561C6E">
      <w:pPr>
        <w:numPr>
          <w:ilvl w:val="0"/>
          <w:numId w:val="8"/>
        </w:numPr>
        <w:spacing w:after="20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Podle pokynu MV ČR se d</w:t>
      </w:r>
      <w:r>
        <w:rPr>
          <w:rFonts w:ascii="Open Sans" w:eastAsia="Open Sans" w:hAnsi="Open Sans" w:cs="Open Sans"/>
          <w:sz w:val="24"/>
          <w:szCs w:val="24"/>
        </w:rPr>
        <w:t>ále sjednává:</w:t>
      </w:r>
    </w:p>
    <w:p w14:paraId="0000003A" w14:textId="77777777" w:rsidR="00BD6CC6" w:rsidRDefault="00561C6E">
      <w:pPr>
        <w:numPr>
          <w:ilvl w:val="1"/>
          <w:numId w:val="8"/>
        </w:numPr>
        <w:spacing w:after="200" w:line="240" w:lineRule="auto"/>
        <w:ind w:left="1133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lastRenderedPageBreak/>
        <w:t>Pokud dojde ke zrušení naplánovaného AIK ze strany ICP nejpozději 6 hodin před jeho konáním, nepřísluší Lektorovi žádná náhrada sjednané odměny.</w:t>
      </w:r>
    </w:p>
    <w:p w14:paraId="0000003B" w14:textId="77777777" w:rsidR="00BD6CC6" w:rsidRDefault="00561C6E">
      <w:pPr>
        <w:numPr>
          <w:ilvl w:val="1"/>
          <w:numId w:val="8"/>
        </w:numPr>
        <w:spacing w:after="200" w:line="240" w:lineRule="auto"/>
        <w:ind w:left="1133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Pokud dojde ke zrušení naplánovaného AIK ze strany ICP méně než 6 hodin před jeho konáním, příslu</w:t>
      </w:r>
      <w:r>
        <w:rPr>
          <w:rFonts w:ascii="Open Sans" w:eastAsia="Open Sans" w:hAnsi="Open Sans" w:cs="Open Sans"/>
          <w:sz w:val="24"/>
          <w:szCs w:val="24"/>
        </w:rPr>
        <w:t>ší Lektorovi jednorázová náhrada ve výši 1400 Kč (slovy dva tisíce korun českých).</w:t>
      </w:r>
    </w:p>
    <w:p w14:paraId="0000003C" w14:textId="77777777" w:rsidR="00BD6CC6" w:rsidRDefault="00561C6E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Článek 5</w:t>
      </w:r>
    </w:p>
    <w:p w14:paraId="0000003D" w14:textId="77777777" w:rsidR="00BD6CC6" w:rsidRDefault="00561C6E">
      <w:pPr>
        <w:spacing w:after="12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Součinnost</w:t>
      </w:r>
    </w:p>
    <w:p w14:paraId="2438278D" w14:textId="2DDC3FD7" w:rsidR="00AF3658" w:rsidRPr="00AF3658" w:rsidRDefault="00561C6E" w:rsidP="00AF3658">
      <w:pPr>
        <w:numPr>
          <w:ilvl w:val="0"/>
          <w:numId w:val="9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ICP i Lektor se zavazují, že si navzájem poskytnou nezbytnou součinnost k dosažení cílů této rámcové smlouvy. Za tímto účelem se budou zejména neprodleně informovat o jakýchkoliv skutečnostech, které by řádnému plnění rámcové smlouvy bránily, či jej dočasn</w:t>
      </w:r>
      <w:r>
        <w:rPr>
          <w:rFonts w:ascii="Open Sans" w:eastAsia="Open Sans" w:hAnsi="Open Sans" w:cs="Open Sans"/>
          <w:color w:val="000000"/>
          <w:sz w:val="24"/>
          <w:szCs w:val="24"/>
        </w:rPr>
        <w:t>ě či navždy vylučovaly.</w:t>
      </w:r>
    </w:p>
    <w:p w14:paraId="7EAACF91" w14:textId="77777777" w:rsidR="00AF3658" w:rsidRDefault="00AF3658" w:rsidP="00AF3658">
      <w:pPr>
        <w:spacing w:after="0" w:line="240" w:lineRule="auto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00000040" w14:textId="19522038" w:rsidR="00BD6CC6" w:rsidRPr="00AF3658" w:rsidRDefault="00561C6E" w:rsidP="00AF3658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Článek 6</w:t>
      </w:r>
    </w:p>
    <w:p w14:paraId="00000041" w14:textId="77777777" w:rsidR="00BD6CC6" w:rsidRDefault="00561C6E">
      <w:pPr>
        <w:spacing w:after="20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Sankce</w:t>
      </w:r>
    </w:p>
    <w:p w14:paraId="00000042" w14:textId="77777777" w:rsidR="00BD6CC6" w:rsidRDefault="00561C6E">
      <w:pPr>
        <w:numPr>
          <w:ilvl w:val="0"/>
          <w:numId w:val="10"/>
        </w:numPr>
        <w:spacing w:after="200" w:line="240" w:lineRule="auto"/>
        <w:ind w:left="425" w:hanging="30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Sjednává se smluvní pokuta až do výše 10 000 Kč. Smluvní pokuta je splatná do 5 pracovních dnů ode dne jejího písemného uplatnění u Lektora, a to na bankovní účet ICP uvedený v záhlaví této smlouvy. Smluvní pokuta </w:t>
      </w:r>
      <w:r>
        <w:rPr>
          <w:rFonts w:ascii="Open Sans" w:eastAsia="Open Sans" w:hAnsi="Open Sans" w:cs="Open Sans"/>
          <w:sz w:val="24"/>
          <w:szCs w:val="24"/>
        </w:rPr>
        <w:t>se sjednává pro tyto případy (dále vše také jako “porušení povinností”):</w:t>
      </w:r>
    </w:p>
    <w:p w14:paraId="00000043" w14:textId="77777777" w:rsidR="00BD6CC6" w:rsidRDefault="00561C6E">
      <w:pPr>
        <w:numPr>
          <w:ilvl w:val="1"/>
          <w:numId w:val="10"/>
        </w:numPr>
        <w:spacing w:after="200" w:line="240" w:lineRule="auto"/>
        <w:ind w:left="1133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nemožnost konání objednaného AIK z důvodu na straně Lektora;</w:t>
      </w:r>
    </w:p>
    <w:p w14:paraId="00000044" w14:textId="77777777" w:rsidR="00BD6CC6" w:rsidRDefault="00561C6E">
      <w:pPr>
        <w:numPr>
          <w:ilvl w:val="1"/>
          <w:numId w:val="10"/>
        </w:numPr>
        <w:spacing w:after="200" w:line="240" w:lineRule="auto"/>
        <w:ind w:left="1133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zjištění, že ze strany Lektora nedošlo k dodržení právních předpisů, Etického kodexu, pokynů Organizace pověřené metodický</w:t>
      </w:r>
      <w:r>
        <w:rPr>
          <w:rFonts w:ascii="Open Sans" w:eastAsia="Open Sans" w:hAnsi="Open Sans" w:cs="Open Sans"/>
          <w:sz w:val="24"/>
          <w:szCs w:val="24"/>
        </w:rPr>
        <w:t>m vedením (Slovo 21) či jiných závazných pokynů;</w:t>
      </w:r>
    </w:p>
    <w:p w14:paraId="00000045" w14:textId="77777777" w:rsidR="00BD6CC6" w:rsidRDefault="00561C6E">
      <w:pPr>
        <w:numPr>
          <w:ilvl w:val="1"/>
          <w:numId w:val="10"/>
        </w:numPr>
        <w:spacing w:after="200" w:line="240" w:lineRule="auto"/>
        <w:ind w:left="1133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poskytování Služeb v jiném rozsahu a obsahu, než jsou definovány ve Vyhlášce.</w:t>
      </w:r>
    </w:p>
    <w:p w14:paraId="00000046" w14:textId="77777777" w:rsidR="00BD6CC6" w:rsidRDefault="00561C6E">
      <w:pPr>
        <w:numPr>
          <w:ilvl w:val="0"/>
          <w:numId w:val="10"/>
        </w:numPr>
        <w:spacing w:after="200" w:line="240" w:lineRule="auto"/>
        <w:ind w:left="425" w:hanging="30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Ustanovení čl. 6 odst. 1 této rámcové smlouvy se nepoužije v případě, že Lektorovi v objednané službě zabránily závažné okolnosti</w:t>
      </w:r>
      <w:r>
        <w:rPr>
          <w:rFonts w:ascii="Open Sans" w:eastAsia="Open Sans" w:hAnsi="Open Sans" w:cs="Open Sans"/>
          <w:sz w:val="24"/>
          <w:szCs w:val="24"/>
        </w:rPr>
        <w:t xml:space="preserve"> nezávislé na jeho vůli (např. onemocnění, zranění, jiná osobní či rodinná událost apod.), to vše za podmínky, že o nemožnosti lektorovat AIK bez zbytečného odkladu vhodným způsobem informoval ICP. Existenci závažných okolností je Lektor povinen na vyzvání</w:t>
      </w:r>
      <w:r>
        <w:rPr>
          <w:rFonts w:ascii="Open Sans" w:eastAsia="Open Sans" w:hAnsi="Open Sans" w:cs="Open Sans"/>
          <w:sz w:val="24"/>
          <w:szCs w:val="24"/>
        </w:rPr>
        <w:t xml:space="preserve"> osvědčit např. potvrzením od lékaře či jiné osoby, lze-li to spravedlivě požadovat.</w:t>
      </w:r>
    </w:p>
    <w:p w14:paraId="00000047" w14:textId="77777777" w:rsidR="00BD6CC6" w:rsidRDefault="00561C6E">
      <w:pPr>
        <w:numPr>
          <w:ilvl w:val="0"/>
          <w:numId w:val="10"/>
        </w:numPr>
        <w:spacing w:after="200" w:line="240" w:lineRule="auto"/>
        <w:ind w:left="425" w:hanging="30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Ustanovení čl. 6 odst. 1 této rámcové smlouvy se dále nepoužije v případě, že se Lektor s ICP na nekonání AIK písemně domluvil.</w:t>
      </w:r>
    </w:p>
    <w:p w14:paraId="00000048" w14:textId="77777777" w:rsidR="00BD6CC6" w:rsidRDefault="00561C6E">
      <w:pPr>
        <w:numPr>
          <w:ilvl w:val="0"/>
          <w:numId w:val="10"/>
        </w:numPr>
        <w:spacing w:after="200" w:line="240" w:lineRule="auto"/>
        <w:ind w:left="425" w:hanging="30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Postup udělení smluvní pokuty a řešení poru</w:t>
      </w:r>
      <w:r>
        <w:rPr>
          <w:rFonts w:ascii="Open Sans" w:eastAsia="Open Sans" w:hAnsi="Open Sans" w:cs="Open Sans"/>
          <w:sz w:val="24"/>
          <w:szCs w:val="24"/>
        </w:rPr>
        <w:t>šení povinností je následující:</w:t>
      </w:r>
    </w:p>
    <w:p w14:paraId="00000049" w14:textId="77777777" w:rsidR="00BD6CC6" w:rsidRDefault="00561C6E">
      <w:pPr>
        <w:numPr>
          <w:ilvl w:val="1"/>
          <w:numId w:val="10"/>
        </w:numPr>
        <w:spacing w:after="200" w:line="240" w:lineRule="auto"/>
        <w:ind w:left="1133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lastRenderedPageBreak/>
        <w:t>Pověřený pracovník ICP zahájí ve věci šetření, jehož výsledkem bude písemné rozhodnutí ICP o možnosti další spolupráce Lektorem. Toto rozhodnutí bude obsahovat popis porušených povinností Lektora a případně pokyny ke zjednán</w:t>
      </w:r>
      <w:r>
        <w:rPr>
          <w:rFonts w:ascii="Open Sans" w:eastAsia="Open Sans" w:hAnsi="Open Sans" w:cs="Open Sans"/>
          <w:sz w:val="24"/>
          <w:szCs w:val="24"/>
        </w:rPr>
        <w:t>í nápravy. ICP je povinno ve věci rozhodnout bez zbytečného odkladu, nejpozději však do 45 kalendářních dnů od okamžiku, kdy se o porušení povinností Lektora dozvědělo;</w:t>
      </w:r>
    </w:p>
    <w:p w14:paraId="0000004A" w14:textId="77777777" w:rsidR="00BD6CC6" w:rsidRDefault="00561C6E">
      <w:pPr>
        <w:numPr>
          <w:ilvl w:val="1"/>
          <w:numId w:val="10"/>
        </w:numPr>
        <w:spacing w:after="200" w:line="240" w:lineRule="auto"/>
        <w:ind w:left="1133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ICP je do rozhodnutí podle čl. 6 odst. 4 písm. a) této smlouvy oprávněno pozastavit úča</w:t>
      </w:r>
      <w:r>
        <w:rPr>
          <w:rFonts w:ascii="Open Sans" w:eastAsia="Open Sans" w:hAnsi="Open Sans" w:cs="Open Sans"/>
          <w:sz w:val="24"/>
          <w:szCs w:val="24"/>
        </w:rPr>
        <w:t>st Lektora na již domluvených termínech AIK a nenabízet mu termíny nové;</w:t>
      </w:r>
    </w:p>
    <w:p w14:paraId="0000004B" w14:textId="77777777" w:rsidR="00BD6CC6" w:rsidRDefault="00561C6E">
      <w:pPr>
        <w:numPr>
          <w:ilvl w:val="1"/>
          <w:numId w:val="10"/>
        </w:numPr>
        <w:spacing w:after="200" w:line="240" w:lineRule="auto"/>
        <w:ind w:left="1133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ICP je do rozhodnutí podle čl. 6 odst. 4 písm. a) této smlouvy oprávněno bez sankce pozastavit výplatu odměny Lektora za AIK, v </w:t>
      </w:r>
      <w:proofErr w:type="gramStart"/>
      <w:r>
        <w:rPr>
          <w:rFonts w:ascii="Open Sans" w:eastAsia="Open Sans" w:hAnsi="Open Sans" w:cs="Open Sans"/>
          <w:sz w:val="24"/>
          <w:szCs w:val="24"/>
        </w:rPr>
        <w:t>průběhu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nichž došlo k porušení jeho povinností. V takov</w:t>
      </w:r>
      <w:r>
        <w:rPr>
          <w:rFonts w:ascii="Open Sans" w:eastAsia="Open Sans" w:hAnsi="Open Sans" w:cs="Open Sans"/>
          <w:sz w:val="24"/>
          <w:szCs w:val="24"/>
        </w:rPr>
        <w:t>ém případě se prodlužuje splatnost již vystavených faktur až do 10. kalendářního dne od rozhodnutí podle čl. 6 odst. 4 písm. a) této smlouvy;</w:t>
      </w:r>
    </w:p>
    <w:p w14:paraId="0000004C" w14:textId="77777777" w:rsidR="00BD6CC6" w:rsidRDefault="00561C6E">
      <w:pPr>
        <w:numPr>
          <w:ilvl w:val="1"/>
          <w:numId w:val="10"/>
        </w:numPr>
        <w:spacing w:after="200" w:line="240" w:lineRule="auto"/>
        <w:ind w:left="1133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Pověřený pracovník ICP v případě nutnosti konzultuje šetření s OAMP MV ČR a Organizací pověřenou metodickým vedení</w:t>
      </w:r>
      <w:r>
        <w:rPr>
          <w:rFonts w:ascii="Open Sans" w:eastAsia="Open Sans" w:hAnsi="Open Sans" w:cs="Open Sans"/>
          <w:sz w:val="24"/>
          <w:szCs w:val="24"/>
        </w:rPr>
        <w:t>m (Slovo 21).</w:t>
      </w:r>
    </w:p>
    <w:p w14:paraId="0000004D" w14:textId="77777777" w:rsidR="00BD6CC6" w:rsidRDefault="00BD6CC6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</w:p>
    <w:p w14:paraId="0000004E" w14:textId="77777777" w:rsidR="00BD6CC6" w:rsidRDefault="00561C6E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Článek 7</w:t>
      </w:r>
    </w:p>
    <w:p w14:paraId="0000004F" w14:textId="77777777" w:rsidR="00BD6CC6" w:rsidRDefault="00561C6E">
      <w:pPr>
        <w:spacing w:after="198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Doba trvání a skončení rámcové smlouvy</w:t>
      </w:r>
    </w:p>
    <w:p w14:paraId="00000050" w14:textId="77777777" w:rsidR="00BD6CC6" w:rsidRDefault="00561C6E">
      <w:pPr>
        <w:numPr>
          <w:ilvl w:val="0"/>
          <w:numId w:val="2"/>
        </w:numPr>
        <w:spacing w:after="198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Tato Smlouva se uzavírá na dobu </w:t>
      </w:r>
      <w:r>
        <w:rPr>
          <w:rFonts w:ascii="Open Sans" w:eastAsia="Open Sans" w:hAnsi="Open Sans" w:cs="Open Sans"/>
          <w:sz w:val="24"/>
          <w:szCs w:val="24"/>
        </w:rPr>
        <w:t>od data podpisu do 31. 12. 2022</w:t>
      </w:r>
      <w:r>
        <w:rPr>
          <w:rFonts w:ascii="Open Sans" w:eastAsia="Open Sans" w:hAnsi="Open Sans" w:cs="Open Sans"/>
          <w:color w:val="000000"/>
          <w:sz w:val="24"/>
          <w:szCs w:val="24"/>
        </w:rPr>
        <w:t>, nejdéle však do doby, kdy dojde k zániku některé ze Smluvních stran.</w:t>
      </w:r>
    </w:p>
    <w:p w14:paraId="00000051" w14:textId="77777777" w:rsidR="00BD6CC6" w:rsidRDefault="00561C6E">
      <w:pPr>
        <w:numPr>
          <w:ilvl w:val="0"/>
          <w:numId w:val="2"/>
        </w:numPr>
        <w:spacing w:after="198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ICP i Lektor mají právo písemně vypovědět rámcovou smlouvu s měsíční výpovědní dobou, a to bez uvedení důvodu. Výpovědní doba počíná běžet prvním dnem měsíce následujícího po měsíci, kdy byla výpověď písemně doručena druhé Smluvní straně. Pro odstranění vš</w:t>
      </w:r>
      <w:r>
        <w:rPr>
          <w:rFonts w:ascii="Open Sans" w:eastAsia="Open Sans" w:hAnsi="Open Sans" w:cs="Open Sans"/>
          <w:color w:val="000000"/>
          <w:sz w:val="24"/>
          <w:szCs w:val="24"/>
        </w:rPr>
        <w:t>ech pochybností se stanoví, že Lektor je povinen do uplynutí výpovědní doby poskytovat již objednané Služby, to však neplatí, pokud se Strany dohodnou jinak.</w:t>
      </w:r>
    </w:p>
    <w:p w14:paraId="00000052" w14:textId="77777777" w:rsidR="00BD6CC6" w:rsidRDefault="00561C6E">
      <w:pPr>
        <w:numPr>
          <w:ilvl w:val="0"/>
          <w:numId w:val="2"/>
        </w:numPr>
        <w:spacing w:after="198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ICP má právo ukončit rámcovou smlouvu okamžitě bez výpovědní doby v případě, že Lektor hrubě poruš</w:t>
      </w:r>
      <w:r>
        <w:rPr>
          <w:rFonts w:ascii="Open Sans" w:eastAsia="Open Sans" w:hAnsi="Open Sans" w:cs="Open Sans"/>
          <w:color w:val="000000"/>
          <w:sz w:val="24"/>
          <w:szCs w:val="24"/>
        </w:rPr>
        <w:t>il své povinnosti stanovené v této smlouvě, či povinnosti Lektora jako osoby vykonávající lektorskou činnost podle Vyhlášky.</w:t>
      </w:r>
    </w:p>
    <w:p w14:paraId="00000053" w14:textId="77777777" w:rsidR="00BD6CC6" w:rsidRDefault="00561C6E">
      <w:pPr>
        <w:numPr>
          <w:ilvl w:val="0"/>
          <w:numId w:val="2"/>
        </w:numPr>
        <w:spacing w:after="198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Hrubým porušením povinností Lektora se rozumí zejména, nikoliv však výlučně, závažné či opakované méně závažné porušení právních př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edpisů, pokynů ICP, pokynů OAMP MV ČR nebo dalších pokynů, se kterými byl Lektor ze strany ICP seznámen, </w:t>
      </w:r>
      <w:r>
        <w:rPr>
          <w:rFonts w:ascii="Open Sans" w:eastAsia="Open Sans" w:hAnsi="Open Sans" w:cs="Open Sans"/>
          <w:sz w:val="24"/>
          <w:szCs w:val="24"/>
        </w:rPr>
        <w:t xml:space="preserve">nedodržení pokynů Organizace pověřené metodickým vedením (Slovo 21), opakované nedodání objednaných lektorských služeb bez předchozí notifikace a souhlasu ICP 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či využívání AIK k jiným činnostem, než </w:t>
      </w:r>
      <w:r>
        <w:rPr>
          <w:rFonts w:ascii="Open Sans" w:eastAsia="Open Sans" w:hAnsi="Open Sans" w:cs="Open Sans"/>
          <w:color w:val="000000"/>
          <w:sz w:val="24"/>
          <w:szCs w:val="24"/>
        </w:rPr>
        <w:lastRenderedPageBreak/>
        <w:t>které jsou definovány v § 12 Vyhlášky (např. nabízení zbo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ží či služeb jejich účastníkům). </w:t>
      </w:r>
    </w:p>
    <w:p w14:paraId="00000055" w14:textId="554D8A5B" w:rsidR="00BD6CC6" w:rsidRPr="00AF3658" w:rsidRDefault="00561C6E" w:rsidP="00AF3658">
      <w:pPr>
        <w:numPr>
          <w:ilvl w:val="0"/>
          <w:numId w:val="2"/>
        </w:numPr>
        <w:spacing w:after="198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Tato smlouva může dále zaniknout způsoby předvídanými příslušnými ustanoveními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ObčZ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>.</w:t>
      </w:r>
    </w:p>
    <w:p w14:paraId="00000056" w14:textId="77777777" w:rsidR="00BD6CC6" w:rsidRDefault="00561C6E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sdt>
        <w:sdtPr>
          <w:tag w:val="goog_rdk_0"/>
          <w:id w:val="-785962810"/>
        </w:sdtPr>
        <w:sdtEndPr/>
        <w:sdtContent/>
      </w:sdt>
      <w:r>
        <w:rPr>
          <w:rFonts w:ascii="Open Sans" w:eastAsia="Open Sans" w:hAnsi="Open Sans" w:cs="Open Sans"/>
          <w:b/>
          <w:color w:val="000000"/>
          <w:sz w:val="24"/>
          <w:szCs w:val="24"/>
        </w:rPr>
        <w:t>Článek 8</w:t>
      </w:r>
    </w:p>
    <w:p w14:paraId="00000057" w14:textId="77777777" w:rsidR="00BD6CC6" w:rsidRDefault="00561C6E">
      <w:pPr>
        <w:spacing w:after="198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Změny v údajích a platby</w:t>
      </w:r>
    </w:p>
    <w:p w14:paraId="00000058" w14:textId="77777777" w:rsidR="00BD6CC6" w:rsidRDefault="00561C6E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Smluvní strany jsou povinny sdělit si případné změny v kontaktních údajích, včetně e-mailových ad</w:t>
      </w:r>
      <w:r>
        <w:rPr>
          <w:rFonts w:ascii="Open Sans" w:eastAsia="Open Sans" w:hAnsi="Open Sans" w:cs="Open Sans"/>
          <w:color w:val="000000"/>
          <w:sz w:val="24"/>
          <w:szCs w:val="24"/>
        </w:rPr>
        <w:t>res, neprodleně poté, co k takovým změnám dojde.</w:t>
      </w:r>
    </w:p>
    <w:p w14:paraId="00000059" w14:textId="77777777" w:rsidR="00BD6CC6" w:rsidRDefault="00561C6E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Odměna Lektora bude vyplácena bankovním převodem na účet Lektora uvedený v záhlaví této rámcové smlouvy. Odměna je splatná k datu uvedenému na příslušné faktuře vystavené Lektorem a doručené ICP za podmínek 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stanovených v této rámcové smlouvě, přičemž datum splatnosti faktury bude minimálně </w:t>
      </w:r>
      <w:r>
        <w:rPr>
          <w:rFonts w:ascii="Open Sans" w:eastAsia="Open Sans" w:hAnsi="Open Sans" w:cs="Open Sans"/>
          <w:sz w:val="24"/>
          <w:szCs w:val="24"/>
        </w:rPr>
        <w:t xml:space="preserve">20 </w:t>
      </w:r>
      <w:r>
        <w:rPr>
          <w:rFonts w:ascii="Open Sans" w:eastAsia="Open Sans" w:hAnsi="Open Sans" w:cs="Open Sans"/>
          <w:color w:val="000000"/>
          <w:sz w:val="24"/>
          <w:szCs w:val="24"/>
        </w:rPr>
        <w:t>dnů ode dne jejího vystavení Lektorem.</w:t>
      </w:r>
    </w:p>
    <w:p w14:paraId="0000005A" w14:textId="77777777" w:rsidR="00BD6CC6" w:rsidRDefault="00561C6E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Faktura musí obsahovat náležitosti účetního dokladu zakotvené v zákoně o účetnictví, případně daňového dokladu ve smyslu zákona o 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dani z přidané hodnoty a § 435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ObčZ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>, a dále identifikaci Projektu označením „AIK ICP 2</w:t>
      </w:r>
      <w:r>
        <w:rPr>
          <w:rFonts w:ascii="Open Sans" w:eastAsia="Open Sans" w:hAnsi="Open Sans" w:cs="Open Sans"/>
          <w:sz w:val="24"/>
          <w:szCs w:val="24"/>
        </w:rPr>
        <w:t>2</w:t>
      </w:r>
      <w:r>
        <w:rPr>
          <w:rFonts w:ascii="Open Sans" w:eastAsia="Open Sans" w:hAnsi="Open Sans" w:cs="Open Sans"/>
          <w:color w:val="000000"/>
          <w:sz w:val="24"/>
          <w:szCs w:val="24"/>
        </w:rPr>
        <w:t>“. Nebude-li faktura obsahovat zákonem či touto smlouvou požadované náležitosti nebo bude chybně vyúčtována cena nebo</w:t>
      </w:r>
      <w:sdt>
        <w:sdtPr>
          <w:tag w:val="goog_rdk_1"/>
          <w:id w:val="1801566331"/>
        </w:sdtPr>
        <w:sdtEndPr/>
        <w:sdtContent/>
      </w:sdt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DPH</w:t>
      </w:r>
      <w:r>
        <w:rPr>
          <w:rFonts w:ascii="Open Sans" w:eastAsia="Open Sans" w:hAnsi="Open Sans" w:cs="Open Sans"/>
          <w:color w:val="000000"/>
          <w:sz w:val="24"/>
          <w:szCs w:val="24"/>
        </w:rPr>
        <w:t>, je ICP oprávněno fakturu před uplynutím j</w:t>
      </w:r>
      <w:r>
        <w:rPr>
          <w:rFonts w:ascii="Open Sans" w:eastAsia="Open Sans" w:hAnsi="Open Sans" w:cs="Open Sans"/>
          <w:color w:val="000000"/>
          <w:sz w:val="24"/>
          <w:szCs w:val="24"/>
        </w:rPr>
        <w:t>ejí splatnosti vrátit Lektorovi k provedení opravy s vyznačením důvodu vrácení. Lektor provede opravu vystavením nové faktury. Dnem vrácení faktury se přerušuje lhůta její splatnosti a nová lhůta splatnosti běží znovu ode dne doručení nové faktury ICP.</w:t>
      </w:r>
    </w:p>
    <w:p w14:paraId="0000005B" w14:textId="77777777" w:rsidR="00BD6CC6" w:rsidRDefault="00561C6E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Dat</w:t>
      </w:r>
      <w:r>
        <w:rPr>
          <w:rFonts w:ascii="Open Sans" w:eastAsia="Open Sans" w:hAnsi="Open Sans" w:cs="Open Sans"/>
          <w:color w:val="000000"/>
          <w:sz w:val="24"/>
          <w:szCs w:val="24"/>
        </w:rPr>
        <w:t>um, kdy byla platba odeslána na bankovní účet Lektora uvedený na příslušném dokladu, je rozhodné pro posouzení, zda platba byla nebo nebyla provedena včas.</w:t>
      </w:r>
    </w:p>
    <w:p w14:paraId="0000005C" w14:textId="77777777" w:rsidR="00BD6CC6" w:rsidRDefault="00561C6E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Článek 9</w:t>
      </w:r>
    </w:p>
    <w:p w14:paraId="0000005D" w14:textId="77777777" w:rsidR="00BD6CC6" w:rsidRDefault="00561C6E">
      <w:pPr>
        <w:spacing w:after="198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Salvátorská klauzule</w:t>
      </w:r>
    </w:p>
    <w:p w14:paraId="0000005E" w14:textId="77777777" w:rsidR="00BD6CC6" w:rsidRDefault="00561C6E">
      <w:pPr>
        <w:numPr>
          <w:ilvl w:val="0"/>
          <w:numId w:val="1"/>
        </w:numPr>
        <w:spacing w:after="198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Pokud by jednotlivá ustanovení této rámcové smlouvy byla neplatná, pop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ř. nerealizovatelná nebo se neplatnými či nerealizovatelnými stala, nebude tím dotčena platnost této rámcové smlouvy v ostatních ujednáních. Smluvní strany se namísto uplatňování neplatnosti těchto ujednání zavazují nahradit neplatné nebo nerealizovatelné </w:t>
      </w:r>
      <w:r>
        <w:rPr>
          <w:rFonts w:ascii="Open Sans" w:eastAsia="Open Sans" w:hAnsi="Open Sans" w:cs="Open Sans"/>
          <w:color w:val="000000"/>
          <w:sz w:val="24"/>
          <w:szCs w:val="24"/>
        </w:rPr>
        <w:t>ustanovení takovým ujednáním, které se, pokud možno, svým obsahem co nejvíce přiblíží zamýšlenému účelu původního ustanovení. To platí i pro vyplnění případných mezer v této rámcové smlouvě.</w:t>
      </w:r>
    </w:p>
    <w:p w14:paraId="20740A2D" w14:textId="50B2EE46" w:rsidR="00AF3658" w:rsidRDefault="00AF3658">
      <w:pPr>
        <w:spacing w:after="0" w:line="240" w:lineRule="auto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7B6BC2B3" w14:textId="701953F8" w:rsidR="00AF3658" w:rsidRDefault="00AF3658">
      <w:pPr>
        <w:spacing w:after="0" w:line="240" w:lineRule="auto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16B7568B" w14:textId="77777777" w:rsidR="00AF3658" w:rsidRDefault="00AF3658">
      <w:pPr>
        <w:spacing w:after="0" w:line="240" w:lineRule="auto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</w:p>
    <w:p w14:paraId="0000005F" w14:textId="79E9FBF6" w:rsidR="00BD6CC6" w:rsidRDefault="00561C6E">
      <w:pPr>
        <w:spacing w:after="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lastRenderedPageBreak/>
        <w:t>Článek 10</w:t>
      </w:r>
    </w:p>
    <w:p w14:paraId="00000060" w14:textId="77777777" w:rsidR="00BD6CC6" w:rsidRDefault="00561C6E">
      <w:pPr>
        <w:spacing w:after="200" w:line="240" w:lineRule="auto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Závěrečná ustanovení</w:t>
      </w:r>
    </w:p>
    <w:p w14:paraId="00000061" w14:textId="77777777" w:rsidR="00BD6CC6" w:rsidRDefault="00561C6E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Tato rámcová smlouva byla vyhotovena ve 2</w:t>
      </w:r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0000"/>
          <w:sz w:val="24"/>
          <w:szCs w:val="24"/>
        </w:rPr>
        <w:t>stejnopisech, z nichž každý má právní sílu originálu a každá ze smluvních stran obdrží po jednom stejnopise.</w:t>
      </w:r>
    </w:p>
    <w:p w14:paraId="00000062" w14:textId="77777777" w:rsidR="00BD6CC6" w:rsidRDefault="00561C6E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Tato rámcová smlouva nabývá platnosti a účinnosti dnem podpisu oběma Stranami.</w:t>
      </w:r>
    </w:p>
    <w:p w14:paraId="00000063" w14:textId="77777777" w:rsidR="00BD6CC6" w:rsidRDefault="00561C6E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Žádná vedlejší ústní ujedn</w:t>
      </w:r>
      <w:r>
        <w:rPr>
          <w:rFonts w:ascii="Open Sans" w:eastAsia="Open Sans" w:hAnsi="Open Sans" w:cs="Open Sans"/>
          <w:color w:val="000000"/>
          <w:sz w:val="24"/>
          <w:szCs w:val="24"/>
        </w:rPr>
        <w:t>ání k této rámcové smlouvě nebyla učiněna. Tato rámcová smlouva může být měněna pouze písemnými číslovanými dodatky, které budou podepsány oběma smluvními stranami.</w:t>
      </w:r>
    </w:p>
    <w:p w14:paraId="00000064" w14:textId="77777777" w:rsidR="00BD6CC6" w:rsidRDefault="00561C6E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Smluvní strany prohlašují, že si tuto rámcovou smlouvu před jejím podpisem přečetly, souhla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sí s jejím obsahem, dále prohlašují, že byla uzavřena po vzájemném projednání na základě jejich pravé a svobodné vůle, určitě, vážně a srozumitelně, nikoli v tísni ani za nápadně jednostranně nevýhodných podmínek, čímž vylučují uplatnění ustanovení § 1793 </w:t>
      </w:r>
      <w:proofErr w:type="spellStart"/>
      <w:r>
        <w:rPr>
          <w:rFonts w:ascii="Open Sans" w:eastAsia="Open Sans" w:hAnsi="Open Sans" w:cs="Open Sans"/>
          <w:color w:val="000000"/>
          <w:sz w:val="24"/>
          <w:szCs w:val="24"/>
        </w:rPr>
        <w:t>ObčZ</w:t>
      </w:r>
      <w:proofErr w:type="spellEnd"/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na tuto rámcovou smlouvu, což vše stvrzují svými podpisy.</w:t>
      </w:r>
    </w:p>
    <w:p w14:paraId="00000065" w14:textId="77777777" w:rsidR="00BD6CC6" w:rsidRDefault="00BD6CC6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tbl>
      <w:tblPr>
        <w:tblStyle w:val="a0"/>
        <w:tblW w:w="700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53"/>
        <w:gridCol w:w="2950"/>
      </w:tblGrid>
      <w:tr w:rsidR="00BD6CC6" w14:paraId="63593BD0" w14:textId="77777777">
        <w:trPr>
          <w:trHeight w:val="910"/>
        </w:trPr>
        <w:tc>
          <w:tcPr>
            <w:tcW w:w="40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6" w14:textId="77777777" w:rsidR="00BD6CC6" w:rsidRDefault="00561C6E">
            <w:pPr>
              <w:spacing w:after="200"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V Praze dne ___________</w:t>
            </w:r>
          </w:p>
        </w:tc>
        <w:tc>
          <w:tcPr>
            <w:tcW w:w="29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7" w14:textId="77777777" w:rsidR="00BD6CC6" w:rsidRDefault="00561C6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V Praze dne ___________</w:t>
            </w:r>
          </w:p>
        </w:tc>
      </w:tr>
      <w:tr w:rsidR="00BD6CC6" w14:paraId="71588B41" w14:textId="77777777">
        <w:trPr>
          <w:trHeight w:val="610"/>
        </w:trPr>
        <w:tc>
          <w:tcPr>
            <w:tcW w:w="40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8" w14:textId="77777777" w:rsidR="00BD6CC6" w:rsidRDefault="00BD6CC6">
            <w:pPr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0000069" w14:textId="77777777" w:rsidR="00BD6CC6" w:rsidRDefault="00561C6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9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A" w14:textId="77777777" w:rsidR="00BD6CC6" w:rsidRDefault="00BD6CC6">
            <w:pPr>
              <w:spacing w:after="0"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000006B" w14:textId="77777777" w:rsidR="00BD6CC6" w:rsidRDefault="00561C6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BD6CC6" w14:paraId="6CE31DA5" w14:textId="77777777">
        <w:trPr>
          <w:trHeight w:val="310"/>
        </w:trPr>
        <w:tc>
          <w:tcPr>
            <w:tcW w:w="40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C" w14:textId="77777777" w:rsidR="00BD6CC6" w:rsidRDefault="00561C6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 xml:space="preserve">za </w:t>
            </w: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Integrační centrum Praha, o.p.s.</w:t>
            </w:r>
          </w:p>
          <w:p w14:paraId="0000006D" w14:textId="77777777" w:rsidR="00BD6CC6" w:rsidRDefault="00561C6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000000"/>
                <w:sz w:val="24"/>
                <w:szCs w:val="24"/>
              </w:rPr>
              <w:t>Bc. Zdeněk Horváth, ředitel</w:t>
            </w:r>
          </w:p>
        </w:tc>
        <w:tc>
          <w:tcPr>
            <w:tcW w:w="29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E" w14:textId="77777777" w:rsidR="00BD6CC6" w:rsidRDefault="00561C6E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[</w:t>
            </w: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  <w:highlight w:val="yellow"/>
              </w:rPr>
              <w:t>doplnit</w:t>
            </w:r>
            <w:r>
              <w:rPr>
                <w:rFonts w:ascii="Open Sans" w:eastAsia="Open Sans" w:hAnsi="Open Sans" w:cs="Open Sans"/>
                <w:b/>
                <w:color w:val="000000"/>
                <w:sz w:val="24"/>
                <w:szCs w:val="24"/>
              </w:rPr>
              <w:t>]</w:t>
            </w:r>
          </w:p>
        </w:tc>
      </w:tr>
    </w:tbl>
    <w:p w14:paraId="0000006F" w14:textId="77777777" w:rsidR="00BD6CC6" w:rsidRDefault="00BD6CC6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sz w:val="28"/>
          <w:szCs w:val="28"/>
          <w:u w:val="single"/>
        </w:rPr>
      </w:pPr>
    </w:p>
    <w:p w14:paraId="00000070" w14:textId="77777777" w:rsidR="00BD6CC6" w:rsidRDefault="00BD6CC6">
      <w:pPr>
        <w:shd w:val="clear" w:color="auto" w:fill="FFFFFF"/>
        <w:spacing w:after="0" w:line="240" w:lineRule="auto"/>
        <w:rPr>
          <w:rFonts w:ascii="Open Sans" w:eastAsia="Open Sans" w:hAnsi="Open Sans" w:cs="Open Sans"/>
          <w:b/>
          <w:sz w:val="28"/>
          <w:szCs w:val="28"/>
          <w:u w:val="single"/>
        </w:rPr>
      </w:pPr>
    </w:p>
    <w:p w14:paraId="00000071" w14:textId="77777777" w:rsidR="00BD6CC6" w:rsidRDefault="00561C6E">
      <w:pPr>
        <w:shd w:val="clear" w:color="auto" w:fill="FFFFFF"/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  <w:u w:val="single"/>
        </w:rPr>
        <w:t>PŘÍLOHY: </w:t>
      </w:r>
    </w:p>
    <w:p w14:paraId="00000072" w14:textId="77777777" w:rsidR="00BD6CC6" w:rsidRDefault="00BD6CC6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73" w14:textId="77777777" w:rsidR="00BD6CC6" w:rsidRDefault="00561C6E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ke stažení pod odkazem: https://icpraha.com/ke-stazeni, ve složce “Dokumenty pro lektory a tlumočníky AIK”</w:t>
      </w:r>
    </w:p>
    <w:p w14:paraId="00000074" w14:textId="77777777" w:rsidR="00BD6CC6" w:rsidRDefault="00561C6E">
      <w:pPr>
        <w:spacing w:after="24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br/>
      </w:r>
    </w:p>
    <w:p w14:paraId="00000075" w14:textId="77777777" w:rsidR="00BD6CC6" w:rsidRDefault="00561C6E">
      <w:pPr>
        <w:spacing w:after="20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Příloha č. 1: Objednávání a fakturace služeb lektorů a tlumočníků pro AIK</w:t>
      </w:r>
    </w:p>
    <w:p w14:paraId="0000007E" w14:textId="127FD94E" w:rsidR="00BD6CC6" w:rsidRPr="00AF3658" w:rsidRDefault="00561C6E" w:rsidP="00AF3658">
      <w:pPr>
        <w:spacing w:after="20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Příloha č. 2: Etický kodex pro lektory a tlumočníky adaptačně-</w:t>
      </w:r>
      <w:r>
        <w:rPr>
          <w:rFonts w:ascii="Open Sans" w:eastAsia="Open Sans" w:hAnsi="Open Sans" w:cs="Open Sans"/>
          <w:color w:val="000000"/>
          <w:sz w:val="24"/>
          <w:szCs w:val="24"/>
        </w:rPr>
        <w:t>integračních kurzů</w:t>
      </w:r>
      <w:bookmarkStart w:id="1" w:name="_GoBack"/>
      <w:bookmarkEnd w:id="1"/>
    </w:p>
    <w:p w14:paraId="0000007F" w14:textId="77777777" w:rsidR="00BD6CC6" w:rsidRDefault="00561C6E">
      <w:pPr>
        <w:tabs>
          <w:tab w:val="left" w:pos="6510"/>
        </w:tabs>
      </w:pPr>
      <w:r>
        <w:tab/>
      </w:r>
    </w:p>
    <w:sectPr w:rsidR="00BD6CC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41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2CF32" w14:textId="77777777" w:rsidR="00561C6E" w:rsidRDefault="00561C6E">
      <w:pPr>
        <w:spacing w:after="0" w:line="240" w:lineRule="auto"/>
      </w:pPr>
      <w:r>
        <w:separator/>
      </w:r>
    </w:p>
  </w:endnote>
  <w:endnote w:type="continuationSeparator" w:id="0">
    <w:p w14:paraId="4C14C9EB" w14:textId="77777777" w:rsidR="00561C6E" w:rsidRDefault="005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3" w14:textId="44B166C5" w:rsidR="00BD6CC6" w:rsidRDefault="00561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F3658">
      <w:rPr>
        <w:color w:val="000000"/>
      </w:rPr>
      <w:fldChar w:fldCharType="separate"/>
    </w:r>
    <w:r w:rsidR="00AF3658">
      <w:rPr>
        <w:noProof/>
        <w:color w:val="000000"/>
      </w:rPr>
      <w:t>2</w:t>
    </w:r>
    <w:r>
      <w:rPr>
        <w:color w:val="000000"/>
      </w:rPr>
      <w:fldChar w:fldCharType="end"/>
    </w:r>
  </w:p>
  <w:p w14:paraId="00000084" w14:textId="77777777" w:rsidR="00BD6CC6" w:rsidRDefault="00BD6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5" w14:textId="77777777" w:rsidR="00BD6CC6" w:rsidRDefault="00BD6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color w:val="000000"/>
      </w:rPr>
    </w:pPr>
  </w:p>
  <w:p w14:paraId="00000086" w14:textId="77777777" w:rsidR="00BD6CC6" w:rsidRDefault="00561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5090795</wp:posOffset>
          </wp:positionH>
          <wp:positionV relativeFrom="paragraph">
            <wp:posOffset>0</wp:posOffset>
          </wp:positionV>
          <wp:extent cx="1199515" cy="669925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515" cy="669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87" w14:textId="77777777" w:rsidR="00BD6CC6" w:rsidRDefault="00561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Aktivita probíhá v rámci projektu AIK ICP 2</w:t>
    </w:r>
    <w:r>
      <w:rPr>
        <w:rFonts w:ascii="Open Sans" w:eastAsia="Open Sans" w:hAnsi="Open Sans" w:cs="Open Sans"/>
        <w:sz w:val="20"/>
        <w:szCs w:val="20"/>
      </w:rPr>
      <w:t>2</w:t>
    </w:r>
    <w:r>
      <w:rPr>
        <w:rFonts w:ascii="Open Sans" w:eastAsia="Open Sans" w:hAnsi="Open Sans" w:cs="Open Sans"/>
        <w:color w:val="000000"/>
        <w:sz w:val="20"/>
        <w:szCs w:val="20"/>
      </w:rPr>
      <w:t xml:space="preserve"> na integraci cizinců financovaného MV ČR v rámci dotačního programu Adaptačně-integrační kurzy 202</w:t>
    </w:r>
    <w:r>
      <w:rPr>
        <w:rFonts w:ascii="Open Sans" w:eastAsia="Open Sans" w:hAnsi="Open Sans" w:cs="Open Sans"/>
        <w:sz w:val="20"/>
        <w:szCs w:val="20"/>
      </w:rPr>
      <w:t>2</w:t>
    </w:r>
    <w:r>
      <w:rPr>
        <w:rFonts w:ascii="Open Sans" w:eastAsia="Open Sans" w:hAnsi="Open Sans" w:cs="Open Sans"/>
        <w:color w:val="000000"/>
        <w:sz w:val="20"/>
        <w:szCs w:val="20"/>
      </w:rPr>
      <w:t xml:space="preserve"> </w:t>
    </w:r>
  </w:p>
  <w:p w14:paraId="00000088" w14:textId="77777777" w:rsidR="00BD6CC6" w:rsidRDefault="00561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 xml:space="preserve">(Rozhodnutí č. </w:t>
    </w:r>
    <w:r>
      <w:rPr>
        <w:rFonts w:ascii="Open Sans" w:eastAsia="Open Sans" w:hAnsi="Open Sans" w:cs="Open Sans"/>
        <w:sz w:val="20"/>
        <w:szCs w:val="20"/>
      </w:rPr>
      <w:t>4</w:t>
    </w:r>
    <w:r>
      <w:rPr>
        <w:rFonts w:ascii="Open Sans" w:eastAsia="Open Sans" w:hAnsi="Open Sans" w:cs="Open Sans"/>
        <w:color w:val="000000"/>
        <w:sz w:val="20"/>
        <w:szCs w:val="20"/>
      </w:rPr>
      <w:t xml:space="preserve"> /202</w:t>
    </w:r>
    <w:r>
      <w:rPr>
        <w:rFonts w:ascii="Open Sans" w:eastAsia="Open Sans" w:hAnsi="Open Sans" w:cs="Open Sans"/>
        <w:sz w:val="20"/>
        <w:szCs w:val="20"/>
      </w:rPr>
      <w:t>2</w:t>
    </w:r>
    <w:r>
      <w:rPr>
        <w:rFonts w:ascii="Open Sans" w:eastAsia="Open Sans" w:hAnsi="Open Sans" w:cs="Open Sans"/>
        <w:color w:val="000000"/>
        <w:sz w:val="20"/>
        <w:szCs w:val="20"/>
      </w:rPr>
      <w:t xml:space="preserve"> IC NNO)</w:t>
    </w:r>
  </w:p>
  <w:p w14:paraId="00000089" w14:textId="77777777" w:rsidR="00BD6CC6" w:rsidRDefault="00BD6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8A" w14:textId="77777777" w:rsidR="00BD6CC6" w:rsidRDefault="00561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505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F87FE" w14:textId="77777777" w:rsidR="00561C6E" w:rsidRDefault="00561C6E">
      <w:pPr>
        <w:spacing w:after="0" w:line="240" w:lineRule="auto"/>
      </w:pPr>
      <w:r>
        <w:separator/>
      </w:r>
    </w:p>
  </w:footnote>
  <w:footnote w:type="continuationSeparator" w:id="0">
    <w:p w14:paraId="2504E9EA" w14:textId="77777777" w:rsidR="00561C6E" w:rsidRDefault="005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0" w14:textId="77777777" w:rsidR="00BD6CC6" w:rsidRDefault="00561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-128268</wp:posOffset>
          </wp:positionH>
          <wp:positionV relativeFrom="margin">
            <wp:posOffset>-872487</wp:posOffset>
          </wp:positionV>
          <wp:extent cx="1559560" cy="668655"/>
          <wp:effectExtent l="0" t="0" r="0" b="0"/>
          <wp:wrapSquare wrapText="bothSides" distT="0" distB="0" distL="114300" distR="11430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60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4286250</wp:posOffset>
          </wp:positionH>
          <wp:positionV relativeFrom="margin">
            <wp:posOffset>-1028062</wp:posOffset>
          </wp:positionV>
          <wp:extent cx="2113368" cy="933450"/>
          <wp:effectExtent l="0" t="0" r="0" b="0"/>
          <wp:wrapSquare wrapText="bothSides" distT="0" distB="0" distL="114300" distR="114300"/>
          <wp:docPr id="1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3368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1976754</wp:posOffset>
          </wp:positionH>
          <wp:positionV relativeFrom="margin">
            <wp:posOffset>-1100453</wp:posOffset>
          </wp:positionV>
          <wp:extent cx="1663065" cy="1114425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t="16018" b="16988"/>
                  <a:stretch>
                    <a:fillRect/>
                  </a:stretch>
                </pic:blipFill>
                <pic:spPr>
                  <a:xfrm>
                    <a:off x="0" y="0"/>
                    <a:ext cx="166306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81" w14:textId="77777777" w:rsidR="00BD6CC6" w:rsidRDefault="00BD6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82" w14:textId="77777777" w:rsidR="00BD6CC6" w:rsidRDefault="00BD6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4F9"/>
    <w:multiLevelType w:val="multilevel"/>
    <w:tmpl w:val="A7D2C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1B418D"/>
    <w:multiLevelType w:val="multilevel"/>
    <w:tmpl w:val="02B4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DE812B2"/>
    <w:multiLevelType w:val="multilevel"/>
    <w:tmpl w:val="E1447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7076CFB"/>
    <w:multiLevelType w:val="multilevel"/>
    <w:tmpl w:val="75BAB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B4D7152"/>
    <w:multiLevelType w:val="multilevel"/>
    <w:tmpl w:val="5766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466395F"/>
    <w:multiLevelType w:val="multilevel"/>
    <w:tmpl w:val="56D6A4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4D5684"/>
    <w:multiLevelType w:val="multilevel"/>
    <w:tmpl w:val="995AA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0E44C5F"/>
    <w:multiLevelType w:val="multilevel"/>
    <w:tmpl w:val="333E5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3FF7D96"/>
    <w:multiLevelType w:val="multilevel"/>
    <w:tmpl w:val="52864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E601DAE"/>
    <w:multiLevelType w:val="multilevel"/>
    <w:tmpl w:val="B8867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C6"/>
    <w:rsid w:val="00561C6E"/>
    <w:rsid w:val="00AF3658"/>
    <w:rsid w:val="00B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AD32"/>
  <w15:docId w15:val="{C548557D-DB42-494A-A19B-C01B13EF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0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D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066"/>
  </w:style>
  <w:style w:type="paragraph" w:styleId="Zpat">
    <w:name w:val="footer"/>
    <w:basedOn w:val="Normln"/>
    <w:link w:val="ZpatChar"/>
    <w:uiPriority w:val="99"/>
    <w:unhideWhenUsed/>
    <w:rsid w:val="00AD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066"/>
  </w:style>
  <w:style w:type="character" w:customStyle="1" w:styleId="Nadpis1Char">
    <w:name w:val="Nadpis 1 Char"/>
    <w:basedOn w:val="Standardnpsmoodstavce"/>
    <w:link w:val="Nadpis1"/>
    <w:uiPriority w:val="9"/>
    <w:rsid w:val="00AD00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F4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bD5sLhHTRkaTgscgBcGUp5NClw==">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1831</Words>
  <Characters>10809</Characters>
  <Application>Microsoft Office Word</Application>
  <DocSecurity>0</DocSecurity>
  <Lines>90</Lines>
  <Paragraphs>25</Paragraphs>
  <ScaleCrop>false</ScaleCrop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 User</dc:creator>
  <cp:lastModifiedBy>ICP User</cp:lastModifiedBy>
  <cp:revision>3</cp:revision>
  <dcterms:created xsi:type="dcterms:W3CDTF">2021-05-17T10:01:00Z</dcterms:created>
  <dcterms:modified xsi:type="dcterms:W3CDTF">2022-01-20T08:15:00Z</dcterms:modified>
</cp:coreProperties>
</file>